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DC6B4E" w:rsidP="00B06570">
      <w:pPr>
        <w:pStyle w:val="Titel"/>
      </w:pPr>
      <w:r>
        <w:t>Spiel</w:t>
      </w:r>
      <w:r w:rsidR="00C112EC">
        <w:t>anleitung</w:t>
      </w:r>
      <w:r>
        <w:t xml:space="preserve"> Eile mit Weile</w:t>
      </w:r>
    </w:p>
    <w:p w:rsidR="008717BF" w:rsidRDefault="008717BF">
      <w:pPr>
        <w:widowControl/>
        <w:suppressAutoHyphens w:val="0"/>
      </w:pPr>
    </w:p>
    <w:p w:rsidR="008717BF" w:rsidRDefault="008717BF">
      <w:pPr>
        <w:widowControl/>
        <w:suppressAutoHyphens w:val="0"/>
      </w:pPr>
    </w:p>
    <w:p w:rsidR="008717BF" w:rsidRDefault="00C865F5">
      <w:pPr>
        <w:widowControl/>
        <w:suppressAutoHyphens w:val="0"/>
      </w:pPr>
      <w:r w:rsidRPr="00C865F5">
        <w:drawing>
          <wp:inline distT="0" distB="0" distL="0" distR="0" wp14:anchorId="025A8F86" wp14:editId="6740AA12">
            <wp:extent cx="5325893" cy="3994737"/>
            <wp:effectExtent l="0" t="0" r="8255" b="6350"/>
            <wp:docPr id="2" name="Grafik 2" descr="Abbildung Eile mit W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Nr.:10.100 - &quot;Eile mit Weile&quot; PA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5749" cy="399462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C6B4E">
        <w:t>10.112</w:t>
      </w:r>
    </w:p>
    <w:p w:rsidR="008717BF" w:rsidRDefault="008717BF">
      <w:pPr>
        <w:widowControl/>
        <w:suppressAutoHyphens w:val="0"/>
      </w:pPr>
      <w:r>
        <w:t>Stand:</w:t>
      </w:r>
      <w:r w:rsidR="00DC6B4E">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C865F5"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0332593" w:history="1">
            <w:r w:rsidR="00C865F5" w:rsidRPr="005A4964">
              <w:rPr>
                <w:rStyle w:val="Hyperlink"/>
                <w:noProof/>
              </w:rPr>
              <w:t>1.</w:t>
            </w:r>
            <w:r w:rsidR="00C865F5">
              <w:rPr>
                <w:rFonts w:eastAsiaTheme="minorEastAsia" w:cstheme="minorBidi"/>
                <w:b w:val="0"/>
                <w:noProof/>
                <w:kern w:val="0"/>
                <w:szCs w:val="22"/>
              </w:rPr>
              <w:tab/>
            </w:r>
            <w:r w:rsidR="00C865F5" w:rsidRPr="005A4964">
              <w:rPr>
                <w:rStyle w:val="Hyperlink"/>
                <w:noProof/>
              </w:rPr>
              <w:t>SpielerInnen</w:t>
            </w:r>
            <w:r w:rsidR="00C865F5">
              <w:rPr>
                <w:noProof/>
                <w:webHidden/>
              </w:rPr>
              <w:tab/>
            </w:r>
            <w:r w:rsidR="00C865F5">
              <w:rPr>
                <w:noProof/>
                <w:webHidden/>
              </w:rPr>
              <w:fldChar w:fldCharType="begin"/>
            </w:r>
            <w:r w:rsidR="00C865F5">
              <w:rPr>
                <w:noProof/>
                <w:webHidden/>
              </w:rPr>
              <w:instrText xml:space="preserve"> PAGEREF _Toc110332593 \h </w:instrText>
            </w:r>
            <w:r w:rsidR="00C865F5">
              <w:rPr>
                <w:noProof/>
                <w:webHidden/>
              </w:rPr>
            </w:r>
            <w:r w:rsidR="00C865F5">
              <w:rPr>
                <w:noProof/>
                <w:webHidden/>
              </w:rPr>
              <w:fldChar w:fldCharType="separate"/>
            </w:r>
            <w:r w:rsidR="00C865F5">
              <w:rPr>
                <w:noProof/>
                <w:webHidden/>
              </w:rPr>
              <w:t>3</w:t>
            </w:r>
            <w:r w:rsidR="00C865F5">
              <w:rPr>
                <w:noProof/>
                <w:webHidden/>
              </w:rPr>
              <w:fldChar w:fldCharType="end"/>
            </w:r>
          </w:hyperlink>
        </w:p>
        <w:p w:rsidR="00C865F5" w:rsidRDefault="00C865F5">
          <w:pPr>
            <w:pStyle w:val="Verzeichnis1"/>
            <w:rPr>
              <w:rFonts w:eastAsiaTheme="minorEastAsia" w:cstheme="minorBidi"/>
              <w:b w:val="0"/>
              <w:noProof/>
              <w:kern w:val="0"/>
              <w:szCs w:val="22"/>
            </w:rPr>
          </w:pPr>
          <w:hyperlink w:anchor="_Toc110332594" w:history="1">
            <w:r w:rsidRPr="005A4964">
              <w:rPr>
                <w:rStyle w:val="Hyperlink"/>
                <w:noProof/>
              </w:rPr>
              <w:t>2.</w:t>
            </w:r>
            <w:r>
              <w:rPr>
                <w:rFonts w:eastAsiaTheme="minorEastAsia" w:cstheme="minorBidi"/>
                <w:b w:val="0"/>
                <w:noProof/>
                <w:kern w:val="0"/>
                <w:szCs w:val="22"/>
              </w:rPr>
              <w:tab/>
            </w:r>
            <w:r w:rsidRPr="005A4964">
              <w:rPr>
                <w:rStyle w:val="Hyperlink"/>
                <w:noProof/>
              </w:rPr>
              <w:t>Das Spielbrett</w:t>
            </w:r>
            <w:r>
              <w:rPr>
                <w:noProof/>
                <w:webHidden/>
              </w:rPr>
              <w:tab/>
            </w:r>
            <w:r>
              <w:rPr>
                <w:noProof/>
                <w:webHidden/>
              </w:rPr>
              <w:fldChar w:fldCharType="begin"/>
            </w:r>
            <w:r>
              <w:rPr>
                <w:noProof/>
                <w:webHidden/>
              </w:rPr>
              <w:instrText xml:space="preserve"> PAGEREF _Toc110332594 \h </w:instrText>
            </w:r>
            <w:r>
              <w:rPr>
                <w:noProof/>
                <w:webHidden/>
              </w:rPr>
            </w:r>
            <w:r>
              <w:rPr>
                <w:noProof/>
                <w:webHidden/>
              </w:rPr>
              <w:fldChar w:fldCharType="separate"/>
            </w:r>
            <w:r>
              <w:rPr>
                <w:noProof/>
                <w:webHidden/>
              </w:rPr>
              <w:t>3</w:t>
            </w:r>
            <w:r>
              <w:rPr>
                <w:noProof/>
                <w:webHidden/>
              </w:rPr>
              <w:fldChar w:fldCharType="end"/>
            </w:r>
          </w:hyperlink>
        </w:p>
        <w:p w:rsidR="00C865F5" w:rsidRDefault="00C865F5">
          <w:pPr>
            <w:pStyle w:val="Verzeichnis2"/>
            <w:rPr>
              <w:rFonts w:eastAsiaTheme="minorEastAsia" w:cstheme="minorBidi"/>
              <w:kern w:val="0"/>
              <w:szCs w:val="22"/>
            </w:rPr>
          </w:pPr>
          <w:hyperlink w:anchor="_Toc110332595" w:history="1">
            <w:r w:rsidRPr="005A4964">
              <w:rPr>
                <w:rStyle w:val="Hyperlink"/>
              </w:rPr>
              <w:t>2.1.</w:t>
            </w:r>
            <w:r>
              <w:rPr>
                <w:rFonts w:eastAsiaTheme="minorEastAsia" w:cstheme="minorBidi"/>
                <w:kern w:val="0"/>
                <w:szCs w:val="22"/>
              </w:rPr>
              <w:tab/>
            </w:r>
            <w:r w:rsidRPr="005A4964">
              <w:rPr>
                <w:rStyle w:val="Hyperlink"/>
              </w:rPr>
              <w:t>Grundstellungsbereich</w:t>
            </w:r>
            <w:r>
              <w:rPr>
                <w:webHidden/>
              </w:rPr>
              <w:tab/>
            </w:r>
            <w:r>
              <w:rPr>
                <w:webHidden/>
              </w:rPr>
              <w:fldChar w:fldCharType="begin"/>
            </w:r>
            <w:r>
              <w:rPr>
                <w:webHidden/>
              </w:rPr>
              <w:instrText xml:space="preserve"> PAGEREF _Toc110332595 \h </w:instrText>
            </w:r>
            <w:r>
              <w:rPr>
                <w:webHidden/>
              </w:rPr>
            </w:r>
            <w:r>
              <w:rPr>
                <w:webHidden/>
              </w:rPr>
              <w:fldChar w:fldCharType="separate"/>
            </w:r>
            <w:r>
              <w:rPr>
                <w:webHidden/>
              </w:rPr>
              <w:t>3</w:t>
            </w:r>
            <w:r>
              <w:rPr>
                <w:webHidden/>
              </w:rPr>
              <w:fldChar w:fldCharType="end"/>
            </w:r>
          </w:hyperlink>
        </w:p>
        <w:p w:rsidR="00C865F5" w:rsidRDefault="00C865F5">
          <w:pPr>
            <w:pStyle w:val="Verzeichnis2"/>
            <w:rPr>
              <w:rFonts w:eastAsiaTheme="minorEastAsia" w:cstheme="minorBidi"/>
              <w:kern w:val="0"/>
              <w:szCs w:val="22"/>
            </w:rPr>
          </w:pPr>
          <w:hyperlink w:anchor="_Toc110332596" w:history="1">
            <w:r w:rsidRPr="005A4964">
              <w:rPr>
                <w:rStyle w:val="Hyperlink"/>
              </w:rPr>
              <w:t>2.2.</w:t>
            </w:r>
            <w:r>
              <w:rPr>
                <w:rFonts w:eastAsiaTheme="minorEastAsia" w:cstheme="minorBidi"/>
                <w:kern w:val="0"/>
                <w:szCs w:val="22"/>
              </w:rPr>
              <w:tab/>
            </w:r>
            <w:r w:rsidRPr="005A4964">
              <w:rPr>
                <w:rStyle w:val="Hyperlink"/>
              </w:rPr>
              <w:t>Felderbereich</w:t>
            </w:r>
            <w:r>
              <w:rPr>
                <w:webHidden/>
              </w:rPr>
              <w:tab/>
            </w:r>
            <w:r>
              <w:rPr>
                <w:webHidden/>
              </w:rPr>
              <w:fldChar w:fldCharType="begin"/>
            </w:r>
            <w:r>
              <w:rPr>
                <w:webHidden/>
              </w:rPr>
              <w:instrText xml:space="preserve"> PAGEREF _Toc110332596 \h </w:instrText>
            </w:r>
            <w:r>
              <w:rPr>
                <w:webHidden/>
              </w:rPr>
            </w:r>
            <w:r>
              <w:rPr>
                <w:webHidden/>
              </w:rPr>
              <w:fldChar w:fldCharType="separate"/>
            </w:r>
            <w:r>
              <w:rPr>
                <w:webHidden/>
              </w:rPr>
              <w:t>3</w:t>
            </w:r>
            <w:r>
              <w:rPr>
                <w:webHidden/>
              </w:rPr>
              <w:fldChar w:fldCharType="end"/>
            </w:r>
          </w:hyperlink>
        </w:p>
        <w:p w:rsidR="00C865F5" w:rsidRDefault="00C865F5">
          <w:pPr>
            <w:pStyle w:val="Verzeichnis2"/>
            <w:rPr>
              <w:rFonts w:eastAsiaTheme="minorEastAsia" w:cstheme="minorBidi"/>
              <w:kern w:val="0"/>
              <w:szCs w:val="22"/>
            </w:rPr>
          </w:pPr>
          <w:hyperlink w:anchor="_Toc110332597" w:history="1">
            <w:r w:rsidRPr="005A4964">
              <w:rPr>
                <w:rStyle w:val="Hyperlink"/>
              </w:rPr>
              <w:t>2.3.</w:t>
            </w:r>
            <w:r>
              <w:rPr>
                <w:rFonts w:eastAsiaTheme="minorEastAsia" w:cstheme="minorBidi"/>
                <w:kern w:val="0"/>
                <w:szCs w:val="22"/>
              </w:rPr>
              <w:tab/>
            </w:r>
            <w:r w:rsidRPr="005A4964">
              <w:rPr>
                <w:rStyle w:val="Hyperlink"/>
              </w:rPr>
              <w:t>Zielgerade</w:t>
            </w:r>
            <w:r>
              <w:rPr>
                <w:webHidden/>
              </w:rPr>
              <w:tab/>
            </w:r>
            <w:r>
              <w:rPr>
                <w:webHidden/>
              </w:rPr>
              <w:fldChar w:fldCharType="begin"/>
            </w:r>
            <w:r>
              <w:rPr>
                <w:webHidden/>
              </w:rPr>
              <w:instrText xml:space="preserve"> PAGEREF _Toc110332597 \h </w:instrText>
            </w:r>
            <w:r>
              <w:rPr>
                <w:webHidden/>
              </w:rPr>
            </w:r>
            <w:r>
              <w:rPr>
                <w:webHidden/>
              </w:rPr>
              <w:fldChar w:fldCharType="separate"/>
            </w:r>
            <w:r>
              <w:rPr>
                <w:webHidden/>
              </w:rPr>
              <w:t>3</w:t>
            </w:r>
            <w:r>
              <w:rPr>
                <w:webHidden/>
              </w:rPr>
              <w:fldChar w:fldCharType="end"/>
            </w:r>
          </w:hyperlink>
        </w:p>
        <w:p w:rsidR="00C865F5" w:rsidRDefault="00C865F5">
          <w:pPr>
            <w:pStyle w:val="Verzeichnis1"/>
            <w:rPr>
              <w:rFonts w:eastAsiaTheme="minorEastAsia" w:cstheme="minorBidi"/>
              <w:b w:val="0"/>
              <w:noProof/>
              <w:kern w:val="0"/>
              <w:szCs w:val="22"/>
            </w:rPr>
          </w:pPr>
          <w:hyperlink w:anchor="_Toc110332598" w:history="1">
            <w:r w:rsidRPr="005A4964">
              <w:rPr>
                <w:rStyle w:val="Hyperlink"/>
                <w:noProof/>
              </w:rPr>
              <w:t>3.</w:t>
            </w:r>
            <w:r>
              <w:rPr>
                <w:rFonts w:eastAsiaTheme="minorEastAsia" w:cstheme="minorBidi"/>
                <w:b w:val="0"/>
                <w:noProof/>
                <w:kern w:val="0"/>
                <w:szCs w:val="22"/>
              </w:rPr>
              <w:tab/>
            </w:r>
            <w:r w:rsidRPr="005A4964">
              <w:rPr>
                <w:rStyle w:val="Hyperlink"/>
                <w:noProof/>
              </w:rPr>
              <w:t>Die Figuren</w:t>
            </w:r>
            <w:r>
              <w:rPr>
                <w:noProof/>
                <w:webHidden/>
              </w:rPr>
              <w:tab/>
            </w:r>
            <w:r>
              <w:rPr>
                <w:noProof/>
                <w:webHidden/>
              </w:rPr>
              <w:fldChar w:fldCharType="begin"/>
            </w:r>
            <w:r>
              <w:rPr>
                <w:noProof/>
                <w:webHidden/>
              </w:rPr>
              <w:instrText xml:space="preserve"> PAGEREF _Toc110332598 \h </w:instrText>
            </w:r>
            <w:r>
              <w:rPr>
                <w:noProof/>
                <w:webHidden/>
              </w:rPr>
            </w:r>
            <w:r>
              <w:rPr>
                <w:noProof/>
                <w:webHidden/>
              </w:rPr>
              <w:fldChar w:fldCharType="separate"/>
            </w:r>
            <w:r>
              <w:rPr>
                <w:noProof/>
                <w:webHidden/>
              </w:rPr>
              <w:t>3</w:t>
            </w:r>
            <w:r>
              <w:rPr>
                <w:noProof/>
                <w:webHidden/>
              </w:rPr>
              <w:fldChar w:fldCharType="end"/>
            </w:r>
          </w:hyperlink>
        </w:p>
        <w:p w:rsidR="00C865F5" w:rsidRDefault="00C865F5">
          <w:pPr>
            <w:pStyle w:val="Verzeichnis1"/>
            <w:rPr>
              <w:rFonts w:eastAsiaTheme="minorEastAsia" w:cstheme="minorBidi"/>
              <w:b w:val="0"/>
              <w:noProof/>
              <w:kern w:val="0"/>
              <w:szCs w:val="22"/>
            </w:rPr>
          </w:pPr>
          <w:hyperlink w:anchor="_Toc110332599" w:history="1">
            <w:r w:rsidRPr="005A4964">
              <w:rPr>
                <w:rStyle w:val="Hyperlink"/>
                <w:noProof/>
              </w:rPr>
              <w:t>4.</w:t>
            </w:r>
            <w:r>
              <w:rPr>
                <w:rFonts w:eastAsiaTheme="minorEastAsia" w:cstheme="minorBidi"/>
                <w:b w:val="0"/>
                <w:noProof/>
                <w:kern w:val="0"/>
                <w:szCs w:val="22"/>
              </w:rPr>
              <w:tab/>
            </w:r>
            <w:r w:rsidRPr="005A4964">
              <w:rPr>
                <w:rStyle w:val="Hyperlink"/>
                <w:noProof/>
              </w:rPr>
              <w:t>Die Aufstellung</w:t>
            </w:r>
            <w:r>
              <w:rPr>
                <w:noProof/>
                <w:webHidden/>
              </w:rPr>
              <w:tab/>
            </w:r>
            <w:r>
              <w:rPr>
                <w:noProof/>
                <w:webHidden/>
              </w:rPr>
              <w:fldChar w:fldCharType="begin"/>
            </w:r>
            <w:r>
              <w:rPr>
                <w:noProof/>
                <w:webHidden/>
              </w:rPr>
              <w:instrText xml:space="preserve"> PAGEREF _Toc110332599 \h </w:instrText>
            </w:r>
            <w:r>
              <w:rPr>
                <w:noProof/>
                <w:webHidden/>
              </w:rPr>
            </w:r>
            <w:r>
              <w:rPr>
                <w:noProof/>
                <w:webHidden/>
              </w:rPr>
              <w:fldChar w:fldCharType="separate"/>
            </w:r>
            <w:r>
              <w:rPr>
                <w:noProof/>
                <w:webHidden/>
              </w:rPr>
              <w:t>3</w:t>
            </w:r>
            <w:r>
              <w:rPr>
                <w:noProof/>
                <w:webHidden/>
              </w:rPr>
              <w:fldChar w:fldCharType="end"/>
            </w:r>
          </w:hyperlink>
        </w:p>
        <w:p w:rsidR="00C865F5" w:rsidRDefault="00C865F5">
          <w:pPr>
            <w:pStyle w:val="Verzeichnis1"/>
            <w:rPr>
              <w:rFonts w:eastAsiaTheme="minorEastAsia" w:cstheme="minorBidi"/>
              <w:b w:val="0"/>
              <w:noProof/>
              <w:kern w:val="0"/>
              <w:szCs w:val="22"/>
            </w:rPr>
          </w:pPr>
          <w:hyperlink w:anchor="_Toc110332600" w:history="1">
            <w:r w:rsidRPr="005A4964">
              <w:rPr>
                <w:rStyle w:val="Hyperlink"/>
                <w:noProof/>
              </w:rPr>
              <w:t>5.</w:t>
            </w:r>
            <w:r>
              <w:rPr>
                <w:rFonts w:eastAsiaTheme="minorEastAsia" w:cstheme="minorBidi"/>
                <w:b w:val="0"/>
                <w:noProof/>
                <w:kern w:val="0"/>
                <w:szCs w:val="22"/>
              </w:rPr>
              <w:tab/>
            </w:r>
            <w:r w:rsidRPr="005A4964">
              <w:rPr>
                <w:rStyle w:val="Hyperlink"/>
                <w:noProof/>
              </w:rPr>
              <w:t>Die Spielführung</w:t>
            </w:r>
            <w:r>
              <w:rPr>
                <w:noProof/>
                <w:webHidden/>
              </w:rPr>
              <w:tab/>
            </w:r>
            <w:r>
              <w:rPr>
                <w:noProof/>
                <w:webHidden/>
              </w:rPr>
              <w:fldChar w:fldCharType="begin"/>
            </w:r>
            <w:r>
              <w:rPr>
                <w:noProof/>
                <w:webHidden/>
              </w:rPr>
              <w:instrText xml:space="preserve"> PAGEREF _Toc110332600 \h </w:instrText>
            </w:r>
            <w:r>
              <w:rPr>
                <w:noProof/>
                <w:webHidden/>
              </w:rPr>
            </w:r>
            <w:r>
              <w:rPr>
                <w:noProof/>
                <w:webHidden/>
              </w:rPr>
              <w:fldChar w:fldCharType="separate"/>
            </w:r>
            <w:r>
              <w:rPr>
                <w:noProof/>
                <w:webHidden/>
              </w:rPr>
              <w:t>3</w:t>
            </w:r>
            <w:r>
              <w:rPr>
                <w:noProof/>
                <w:webHidden/>
              </w:rPr>
              <w:fldChar w:fldCharType="end"/>
            </w:r>
          </w:hyperlink>
        </w:p>
        <w:p w:rsidR="00C865F5" w:rsidRDefault="00C865F5">
          <w:pPr>
            <w:pStyle w:val="Verzeichnis1"/>
            <w:rPr>
              <w:rFonts w:eastAsiaTheme="minorEastAsia" w:cstheme="minorBidi"/>
              <w:b w:val="0"/>
              <w:noProof/>
              <w:kern w:val="0"/>
              <w:szCs w:val="22"/>
            </w:rPr>
          </w:pPr>
          <w:hyperlink w:anchor="_Toc110332601" w:history="1">
            <w:r w:rsidRPr="005A4964">
              <w:rPr>
                <w:rStyle w:val="Hyperlink"/>
                <w:noProof/>
              </w:rPr>
              <w:t>6.</w:t>
            </w:r>
            <w:r>
              <w:rPr>
                <w:rFonts w:eastAsiaTheme="minorEastAsia" w:cstheme="minorBidi"/>
                <w:b w:val="0"/>
                <w:noProof/>
                <w:kern w:val="0"/>
                <w:szCs w:val="22"/>
              </w:rPr>
              <w:tab/>
            </w:r>
            <w:r w:rsidRPr="005A4964">
              <w:rPr>
                <w:rStyle w:val="Hyperlink"/>
                <w:noProof/>
              </w:rPr>
              <w:t>Ziel des Spiels</w:t>
            </w:r>
            <w:r>
              <w:rPr>
                <w:noProof/>
                <w:webHidden/>
              </w:rPr>
              <w:tab/>
            </w:r>
            <w:r>
              <w:rPr>
                <w:noProof/>
                <w:webHidden/>
              </w:rPr>
              <w:fldChar w:fldCharType="begin"/>
            </w:r>
            <w:r>
              <w:rPr>
                <w:noProof/>
                <w:webHidden/>
              </w:rPr>
              <w:instrText xml:space="preserve"> PAGEREF _Toc110332601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C865F5" w:rsidRDefault="00A33C12" w:rsidP="00337F29">
      <w:r>
        <w:br w:type="page"/>
      </w:r>
      <w:bookmarkStart w:id="46" w:name="_Toc110332593"/>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DC6B4E" w:rsidRPr="00DC6B4E" w:rsidRDefault="00DC6B4E" w:rsidP="003626EA">
      <w:pPr>
        <w:pStyle w:val="berschrift1num"/>
      </w:pPr>
      <w:r w:rsidRPr="00DC6B4E">
        <w:lastRenderedPageBreak/>
        <w:t>SpielerInnen</w:t>
      </w:r>
      <w:bookmarkEnd w:id="46"/>
      <w:r w:rsidRPr="00DC6B4E">
        <w:t xml:space="preserve"> </w:t>
      </w:r>
    </w:p>
    <w:p w:rsidR="00DC6B4E" w:rsidRPr="00DC6B4E" w:rsidRDefault="00DC6B4E" w:rsidP="00DC6B4E">
      <w:r w:rsidRPr="00DC6B4E">
        <w:t>2 – 4 SpielerInnen ab 6 Jahren</w:t>
      </w:r>
    </w:p>
    <w:p w:rsidR="00DC6B4E" w:rsidRPr="00DC6B4E" w:rsidRDefault="00DC6B4E" w:rsidP="003626EA">
      <w:pPr>
        <w:pStyle w:val="berschrift1num"/>
      </w:pPr>
      <w:bookmarkStart w:id="47" w:name="_Toc110332594"/>
      <w:r w:rsidRPr="00DC6B4E">
        <w:t>Das Spielbrett</w:t>
      </w:r>
      <w:bookmarkEnd w:id="47"/>
    </w:p>
    <w:p w:rsidR="00DC6B4E" w:rsidRPr="00DC6B4E" w:rsidRDefault="00DC6B4E" w:rsidP="00DC6B4E">
      <w:r w:rsidRPr="00DC6B4E">
        <w:t>Das ganze Spielbrett ist magnetisch und wie folgt aufgebaut:</w:t>
      </w:r>
    </w:p>
    <w:p w:rsidR="00DC6B4E" w:rsidRPr="00DC6B4E" w:rsidRDefault="00DC6B4E" w:rsidP="003626EA">
      <w:pPr>
        <w:pStyle w:val="berschrift2num"/>
      </w:pPr>
      <w:bookmarkStart w:id="48" w:name="_Toc110332595"/>
      <w:r w:rsidRPr="00DC6B4E">
        <w:t>Grundstellungsbereich</w:t>
      </w:r>
      <w:bookmarkEnd w:id="48"/>
    </w:p>
    <w:p w:rsidR="00DC6B4E" w:rsidRPr="00DC6B4E" w:rsidRDefault="00DC6B4E" w:rsidP="00DC6B4E">
      <w:r w:rsidRPr="00DC6B4E">
        <w:t xml:space="preserve">Dieser befindet sich rechts unten auf der dem Spieler zugewandten Seite. Er besteht aus vier quadratisch angeordneten Kreisen (glatte Oberfläche), deren Rand etwas erhöht ist und eine </w:t>
      </w:r>
      <w:proofErr w:type="spellStart"/>
      <w:r w:rsidRPr="00DC6B4E">
        <w:t>rauhe</w:t>
      </w:r>
      <w:proofErr w:type="spellEnd"/>
      <w:r w:rsidRPr="00DC6B4E">
        <w:t xml:space="preserve"> Oberfläche besitzen. In diese Kreise werden die Figuren in die Grundstellung gelegt. Links unterhalb (7-Uhr Position) des linken unteren Kreises jeder Ausgangsstellung ist die Kennzeichnung der dem Bereich entsprechenden Figuren. Die Kennzeichnung besteht aus der Form und der Art der oberen Fläche der Figuren, wie sie unter Punkt 3 beschrieben sind.</w:t>
      </w:r>
    </w:p>
    <w:p w:rsidR="00DC6B4E" w:rsidRPr="00DC6B4E" w:rsidRDefault="00DC6B4E" w:rsidP="003626EA">
      <w:pPr>
        <w:pStyle w:val="berschrift2num"/>
      </w:pPr>
      <w:bookmarkStart w:id="49" w:name="_Toc110332596"/>
      <w:proofErr w:type="spellStart"/>
      <w:r w:rsidRPr="00DC6B4E">
        <w:t>Felderbereich</w:t>
      </w:r>
      <w:bookmarkEnd w:id="49"/>
      <w:proofErr w:type="spellEnd"/>
    </w:p>
    <w:p w:rsidR="00DC6B4E" w:rsidRPr="00DC6B4E" w:rsidRDefault="00DC6B4E" w:rsidP="00DC6B4E">
      <w:r w:rsidRPr="00DC6B4E">
        <w:t xml:space="preserve">Ca. ein Zentimeter links (9-Uhr Position) von der Kennzeichnung für die jeweilige Figur ist das Startfeld der Laufbahn. Diese besteht aus Feldern (helle Farbe, umrandete glatte Oberfläche) und </w:t>
      </w:r>
      <w:proofErr w:type="spellStart"/>
      <w:r w:rsidRPr="00DC6B4E">
        <w:t>Bänklein</w:t>
      </w:r>
      <w:proofErr w:type="spellEnd"/>
      <w:r w:rsidRPr="00DC6B4E">
        <w:t xml:space="preserve"> (dunkle Farbe, erhöhte </w:t>
      </w:r>
      <w:proofErr w:type="spellStart"/>
      <w:r w:rsidRPr="00DC6B4E">
        <w:t>rauhe</w:t>
      </w:r>
      <w:proofErr w:type="spellEnd"/>
      <w:r w:rsidRPr="00DC6B4E">
        <w:t xml:space="preserve"> Oberfläche). Der </w:t>
      </w:r>
      <w:proofErr w:type="spellStart"/>
      <w:r w:rsidRPr="00DC6B4E">
        <w:t>Felderbereich</w:t>
      </w:r>
      <w:proofErr w:type="spellEnd"/>
      <w:r w:rsidRPr="00DC6B4E">
        <w:t xml:space="preserve"> führt kreuzförmig im Gegenuhrzeigersinn um das Spielbrett herum bis zur Zielgeraden, welche in der Mitte jedes Kreuzarms 5 Felder vor dem Startfeld der entsprechenden Farbe beginnt. </w:t>
      </w:r>
    </w:p>
    <w:p w:rsidR="00DC6B4E" w:rsidRPr="00DC6B4E" w:rsidRDefault="00DC6B4E" w:rsidP="003626EA">
      <w:pPr>
        <w:pStyle w:val="berschrift2num"/>
      </w:pPr>
      <w:bookmarkStart w:id="50" w:name="_Toc110332597"/>
      <w:r w:rsidRPr="00DC6B4E">
        <w:t>Zielgerade</w:t>
      </w:r>
      <w:bookmarkEnd w:id="50"/>
    </w:p>
    <w:p w:rsidR="00DC6B4E" w:rsidRPr="00DC6B4E" w:rsidRDefault="00DC6B4E" w:rsidP="00DC6B4E">
      <w:r w:rsidRPr="00DC6B4E">
        <w:t>Die Zielgerade führt direkt Richtung 12 Uhr zur Spielbrettmitte (Ziel).</w:t>
      </w:r>
    </w:p>
    <w:p w:rsidR="00DC6B4E" w:rsidRPr="00DC6B4E" w:rsidRDefault="00DC6B4E" w:rsidP="003626EA">
      <w:pPr>
        <w:pStyle w:val="berschrift1num"/>
      </w:pPr>
      <w:bookmarkStart w:id="51" w:name="_Toc110332598"/>
      <w:r w:rsidRPr="00DC6B4E">
        <w:t>Die Figuren</w:t>
      </w:r>
      <w:bookmarkEnd w:id="51"/>
    </w:p>
    <w:p w:rsidR="00DC6B4E" w:rsidRPr="00DC6B4E" w:rsidRDefault="00DC6B4E" w:rsidP="00DC6B4E">
      <w:r w:rsidRPr="00DC6B4E">
        <w:t>Es kann mit vier Sorten à 4 Figuren gespielt werden, welche sich in Farbe und Form wie folgt unterscheiden:</w:t>
      </w:r>
    </w:p>
    <w:p w:rsidR="00DC6B4E" w:rsidRPr="00DC6B4E" w:rsidRDefault="00DC6B4E" w:rsidP="00DC6B4E">
      <w:pPr>
        <w:pStyle w:val="Aufzhlungszeichen"/>
        <w:rPr>
          <w:rFonts w:hint="eastAsia"/>
        </w:rPr>
      </w:pPr>
      <w:r w:rsidRPr="00DC6B4E">
        <w:rPr>
          <w:rFonts w:hint="eastAsia"/>
        </w:rPr>
        <w:t>gelb quadratische Magneten, obere Fläche glatt</w:t>
      </w:r>
    </w:p>
    <w:p w:rsidR="00DC6B4E" w:rsidRPr="00DC6B4E" w:rsidRDefault="00DC6B4E" w:rsidP="00DC6B4E">
      <w:pPr>
        <w:pStyle w:val="Aufzhlungszeichen"/>
        <w:rPr>
          <w:rFonts w:hint="eastAsia"/>
        </w:rPr>
      </w:pPr>
      <w:r w:rsidRPr="00DC6B4E">
        <w:rPr>
          <w:rFonts w:hint="eastAsia"/>
        </w:rPr>
        <w:t xml:space="preserve">rot runde Magneten, obere Fläche </w:t>
      </w:r>
      <w:proofErr w:type="spellStart"/>
      <w:r w:rsidRPr="00DC6B4E">
        <w:rPr>
          <w:rFonts w:hint="eastAsia"/>
        </w:rPr>
        <w:t>rauh</w:t>
      </w:r>
      <w:proofErr w:type="spellEnd"/>
      <w:r w:rsidRPr="00DC6B4E">
        <w:rPr>
          <w:rFonts w:hint="eastAsia"/>
        </w:rPr>
        <w:t xml:space="preserve"> durch aufgeklebte Fächerscheibe</w:t>
      </w:r>
    </w:p>
    <w:p w:rsidR="00DC6B4E" w:rsidRPr="00DC6B4E" w:rsidRDefault="00DC6B4E" w:rsidP="00DC6B4E">
      <w:pPr>
        <w:pStyle w:val="Aufzhlungszeichen"/>
        <w:rPr>
          <w:rFonts w:hint="eastAsia"/>
        </w:rPr>
      </w:pPr>
      <w:r w:rsidRPr="00DC6B4E">
        <w:rPr>
          <w:rFonts w:hint="eastAsia"/>
        </w:rPr>
        <w:t>grün runde Magneten, obere Fläche glatt</w:t>
      </w:r>
    </w:p>
    <w:p w:rsidR="00DC6B4E" w:rsidRPr="00DC6B4E" w:rsidRDefault="00DC6B4E" w:rsidP="00DC6B4E">
      <w:pPr>
        <w:pStyle w:val="Aufzhlungszeichen"/>
        <w:rPr>
          <w:rFonts w:hint="eastAsia"/>
        </w:rPr>
      </w:pPr>
      <w:r w:rsidRPr="00DC6B4E">
        <w:rPr>
          <w:rFonts w:hint="eastAsia"/>
        </w:rPr>
        <w:t xml:space="preserve">blau quadratische Magneten, obere Fläche mit Vertiefung durch aufgeklebte </w:t>
      </w:r>
      <w:proofErr w:type="spellStart"/>
      <w:r w:rsidRPr="00DC6B4E">
        <w:rPr>
          <w:rFonts w:hint="eastAsia"/>
        </w:rPr>
        <w:t>Cuvette</w:t>
      </w:r>
      <w:proofErr w:type="spellEnd"/>
    </w:p>
    <w:p w:rsidR="00DC6B4E" w:rsidRPr="00DC6B4E" w:rsidRDefault="00DC6B4E" w:rsidP="003626EA">
      <w:pPr>
        <w:pStyle w:val="berschrift1num"/>
      </w:pPr>
      <w:bookmarkStart w:id="52" w:name="_Toc110332599"/>
      <w:r w:rsidRPr="00DC6B4E">
        <w:t>Die Aufstellung</w:t>
      </w:r>
      <w:bookmarkEnd w:id="52"/>
    </w:p>
    <w:p w:rsidR="00DC6B4E" w:rsidRPr="00DC6B4E" w:rsidRDefault="00DC6B4E" w:rsidP="00DC6B4E">
      <w:r w:rsidRPr="00DC6B4E">
        <w:t>Die Figuren werden vor Spielbeginn in den Grundstellungsbereich (Kreise) gebracht.</w:t>
      </w:r>
    </w:p>
    <w:p w:rsidR="00DC6B4E" w:rsidRPr="00DC6B4E" w:rsidRDefault="00DC6B4E" w:rsidP="003626EA">
      <w:pPr>
        <w:pStyle w:val="berschrift1num"/>
      </w:pPr>
      <w:bookmarkStart w:id="53" w:name="_Toc110332600"/>
      <w:r w:rsidRPr="00DC6B4E">
        <w:t>Die Spielführung</w:t>
      </w:r>
      <w:bookmarkEnd w:id="53"/>
    </w:p>
    <w:p w:rsidR="00DC6B4E" w:rsidRPr="00DC6B4E" w:rsidRDefault="00DC6B4E" w:rsidP="00DC6B4E">
      <w:r w:rsidRPr="00DC6B4E">
        <w:t>Am Spiel können so viele Personen teilnehmen, wie Farben vorhanden sind; sind nur 2 Spieler vorhanden, darf jeder 2 Farben übernehmen.</w:t>
      </w:r>
    </w:p>
    <w:p w:rsidR="00DC6B4E" w:rsidRPr="00DC6B4E" w:rsidRDefault="00DC6B4E" w:rsidP="00DC6B4E">
      <w:r w:rsidRPr="00DC6B4E">
        <w:t>Es wird mit einem Würfel gewürfelt. Beginnen darf, wer eine 5 gewürfelt hat. Der Spieler darf nun eine Figur auf das fünfte Feld (</w:t>
      </w:r>
      <w:proofErr w:type="spellStart"/>
      <w:r w:rsidRPr="00DC6B4E">
        <w:t>Bänklein</w:t>
      </w:r>
      <w:proofErr w:type="spellEnd"/>
      <w:r w:rsidRPr="00DC6B4E">
        <w:t xml:space="preserve">-Startfeld) am Anfang seines entsprechenden </w:t>
      </w:r>
      <w:proofErr w:type="spellStart"/>
      <w:r w:rsidRPr="00DC6B4E">
        <w:t>Felderbereichs</w:t>
      </w:r>
      <w:proofErr w:type="spellEnd"/>
      <w:r w:rsidRPr="00DC6B4E">
        <w:t xml:space="preserve"> setzen.</w:t>
      </w:r>
    </w:p>
    <w:p w:rsidR="00DC6B4E" w:rsidRPr="00DC6B4E" w:rsidRDefault="00DC6B4E" w:rsidP="00DC6B4E">
      <w:r w:rsidRPr="00DC6B4E">
        <w:t xml:space="preserve">Während </w:t>
      </w:r>
      <w:proofErr w:type="gramStart"/>
      <w:r w:rsidRPr="00DC6B4E">
        <w:t>des weiteren</w:t>
      </w:r>
      <w:proofErr w:type="gramEnd"/>
      <w:r w:rsidRPr="00DC6B4E">
        <w:t xml:space="preserve"> Spieles kann dann jede beliebige Figur eingesetzt oder gerückt werden.</w:t>
      </w:r>
    </w:p>
    <w:p w:rsidR="00DC6B4E" w:rsidRPr="00DC6B4E" w:rsidRDefault="00DC6B4E" w:rsidP="00DC6B4E">
      <w:r w:rsidRPr="00DC6B4E">
        <w:t>Wer eine 6 würfelt, darf diese Anzahl fahren und noch einmal würfeln.</w:t>
      </w:r>
    </w:p>
    <w:p w:rsidR="00DC6B4E" w:rsidRPr="00DC6B4E" w:rsidRDefault="00DC6B4E" w:rsidP="00DC6B4E">
      <w:r w:rsidRPr="00DC6B4E">
        <w:t xml:space="preserve">Überholt eine Figur eine feindliche, die auf einem Feld steht, dann wird diese feindliche Figur geschlagen und muss noch einmal von vorne anfangen, d.h. sie wird auf die </w:t>
      </w:r>
      <w:r w:rsidRPr="00DC6B4E">
        <w:lastRenderedPageBreak/>
        <w:t xml:space="preserve">entsprechende Grundstellung zurückgesetzt. Kommt eine Figur auf das gleiche Feld wie eine feindliche Figur, so wird diese nicht geschlagen. Von den </w:t>
      </w:r>
      <w:proofErr w:type="spellStart"/>
      <w:r w:rsidRPr="00DC6B4E">
        <w:t>Bänklein</w:t>
      </w:r>
      <w:proofErr w:type="spellEnd"/>
      <w:r w:rsidRPr="00DC6B4E">
        <w:t xml:space="preserve"> kann keine Figur herausgeschlagen werden.</w:t>
      </w:r>
    </w:p>
    <w:p w:rsidR="00DC6B4E" w:rsidRPr="00DC6B4E" w:rsidRDefault="00DC6B4E" w:rsidP="00DC6B4E">
      <w:r w:rsidRPr="00DC6B4E">
        <w:t>Wenn zwei Figuren des gleichen Spielers auf ein Feld kommen, so nennt man das "Blockade" und kein anderer Spieler kann über eine Blockade herüberrücken. Der Besitzer der zwei Figuren, die diese Blockade bilden, kann diese so lange geschlossen halten, bis er mit keiner anderen Figur mehr einen Zug machen kann.</w:t>
      </w:r>
    </w:p>
    <w:p w:rsidR="00DC6B4E" w:rsidRPr="00DC6B4E" w:rsidRDefault="00DC6B4E" w:rsidP="00DC6B4E">
      <w:r w:rsidRPr="00DC6B4E">
        <w:t>Hat nun ein Spieler seine Figuren um die ganze Spielbahn herumgebracht und ist er auf den Zielfeldern seiner Farbe angekommen, so muss er, um ins Mittelfeld zu gelangen, genau so viel würfeln, wie er bis zu seinem Ziel braucht.</w:t>
      </w:r>
    </w:p>
    <w:p w:rsidR="00DC6B4E" w:rsidRPr="00DC6B4E" w:rsidRDefault="00DC6B4E" w:rsidP="003626EA">
      <w:pPr>
        <w:pStyle w:val="berschrift1num"/>
      </w:pPr>
      <w:bookmarkStart w:id="54" w:name="_Toc110332601"/>
      <w:r w:rsidRPr="00DC6B4E">
        <w:t>Ziel des Spiels</w:t>
      </w:r>
      <w:bookmarkEnd w:id="54"/>
    </w:p>
    <w:p w:rsidR="00DC6B4E" w:rsidRPr="00DC6B4E" w:rsidRDefault="00DC6B4E" w:rsidP="00DC6B4E">
      <w:bookmarkStart w:id="55" w:name="_GoBack"/>
      <w:bookmarkEnd w:id="55"/>
      <w:r w:rsidRPr="00DC6B4E">
        <w:t>Wer zuerst alle seine Figuren ins Ziel gebracht hat, ist Sieger. Bei diesem Spiel muss man versuchen, "langsam aber sicher" ins Ziel zu kommen, denn oft genug muss man gerade kurz vor dem Ziel wieder umkehren und von vorne anfangen.</w:t>
      </w:r>
    </w:p>
    <w:p w:rsidR="000D0937" w:rsidRDefault="00DC6B4E" w:rsidP="00DC6B4E">
      <w:r w:rsidRPr="00DC6B4E">
        <w:t>Hinweis: Damit ein Abkratzen der tastbaren Linien durch die Magneten vermieden wird, empfehlen wir blinden und sehbehinderten Personen, dass sie die Anzahl der gewürfelten Felder mit einem Zeigefinger zuerst abtasten, um dann mit der anderen Hand die magnetische Spielfigur zu setzen.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7FF" w:rsidRDefault="00D347FF">
      <w:r>
        <w:separator/>
      </w:r>
    </w:p>
  </w:endnote>
  <w:endnote w:type="continuationSeparator" w:id="0">
    <w:p w:rsidR="00D347FF" w:rsidRDefault="00D3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811F5">
      <w:rPr>
        <w:noProof/>
      </w:rPr>
      <w:t>15.07.2022</w:t>
    </w:r>
    <w:r>
      <w:fldChar w:fldCharType="end"/>
    </w:r>
    <w:r>
      <w:ptab w:relativeTo="margin" w:alignment="center" w:leader="none"/>
    </w:r>
    <w:r w:rsidR="00D347FF">
      <w:fldChar w:fldCharType="begin"/>
    </w:r>
    <w:r w:rsidR="00D347FF">
      <w:instrText xml:space="preserve"> FILENAME   \* MERGEFORMAT </w:instrText>
    </w:r>
    <w:r w:rsidR="00D347FF">
      <w:fldChar w:fldCharType="separate"/>
    </w:r>
    <w:r w:rsidR="000D0937">
      <w:rPr>
        <w:noProof/>
      </w:rPr>
      <w:t>Dokument1</w:t>
    </w:r>
    <w:r w:rsidR="00D347FF">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7FF" w:rsidRDefault="00D347FF">
      <w:r>
        <w:separator/>
      </w:r>
    </w:p>
  </w:footnote>
  <w:footnote w:type="continuationSeparator" w:id="0">
    <w:p w:rsidR="00D347FF" w:rsidRDefault="00D3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37F29"/>
    <w:rsid w:val="003446AE"/>
    <w:rsid w:val="00344730"/>
    <w:rsid w:val="003626EA"/>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4DED"/>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50E1"/>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5F5"/>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7FF"/>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6B4E"/>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11F5"/>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B082DF"/>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9733C"/>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216773A-34C0-4438-ABD7-5665B659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4971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2022-08-02T09:35:00Z</dcterms:created>
  <dcterms:modified xsi:type="dcterms:W3CDTF">2022-08-02T09:45:00Z</dcterms:modified>
</cp:coreProperties>
</file>