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A74422" w:rsidRDefault="00EB4546" w:rsidP="00566E51">
      <w:pPr>
        <w:pStyle w:val="Titel"/>
        <w:rPr>
          <w:lang w:val="fr-CH"/>
        </w:rPr>
      </w:pPr>
      <w:r w:rsidRPr="00A74422">
        <w:rPr>
          <w:lang w:val="fr-CH"/>
        </w:rPr>
        <w:t>Mode d'emploi</w:t>
      </w:r>
      <w:r w:rsidR="00A74422" w:rsidRPr="00A74422">
        <w:rPr>
          <w:lang w:val="fr-CH"/>
        </w:rPr>
        <w:t xml:space="preserve"> Banques d'alimentation </w:t>
      </w:r>
      <w:proofErr w:type="spellStart"/>
      <w:r w:rsidR="00A74422" w:rsidRPr="00A74422">
        <w:rPr>
          <w:lang w:val="fr-CH"/>
        </w:rPr>
        <w:t>Energrid</w:t>
      </w:r>
      <w:proofErr w:type="spellEnd"/>
      <w:r w:rsidR="00A74422" w:rsidRPr="00A74422">
        <w:rPr>
          <w:lang w:val="fr-CH"/>
        </w:rPr>
        <w:t xml:space="preserve"> VS820PD &amp; VS810PD pour </w:t>
      </w:r>
      <w:r w:rsidR="00C26F29" w:rsidRPr="00C26F29">
        <w:rPr>
          <w:lang w:val="fr-CH"/>
        </w:rPr>
        <w:t>les m</w:t>
      </w:r>
      <w:r w:rsidR="00A74422" w:rsidRPr="00A74422">
        <w:rPr>
          <w:lang w:val="fr-CH"/>
        </w:rPr>
        <w:t>alvoyants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273A1C" w:rsidP="00EB4546">
      <w:pPr>
        <w:pStyle w:val="Textkrper"/>
      </w:pPr>
      <w:r>
        <w:drawing>
          <wp:inline distT="0" distB="0" distL="0" distR="0">
            <wp:extent cx="5939790" cy="3801637"/>
            <wp:effectExtent l="0" t="0" r="3810" b="8890"/>
            <wp:docPr id="1" name="Grafik 1" descr="Image de la banque d'alimentation Ener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C26F29">
        <w:t>03.816</w:t>
      </w:r>
    </w:p>
    <w:p w:rsidR="00EB4546" w:rsidRDefault="00EB4546" w:rsidP="00EB4546">
      <w:pPr>
        <w:pStyle w:val="Textkrper"/>
      </w:pPr>
      <w:r>
        <w:t xml:space="preserve">Etat : </w:t>
      </w:r>
      <w:r w:rsidR="007258AF">
        <w:t>3</w:t>
      </w:r>
      <w:r w:rsidR="00C26F29">
        <w:t>0.06.2023</w:t>
      </w:r>
    </w:p>
    <w:p w:rsidR="00EB4546" w:rsidRDefault="00EB4546">
      <w:pPr>
        <w:widowControl/>
        <w:suppressAutoHyphens w:val="0"/>
      </w:pPr>
      <w:r>
        <w:br w:type="page"/>
      </w:r>
    </w:p>
    <w:p w:rsidR="0023484B" w:rsidRPr="00273A1C" w:rsidRDefault="0023484B" w:rsidP="001A17AF">
      <w:pPr>
        <w:pStyle w:val="Inhaltsverzeichnisberschrift"/>
      </w:pPr>
      <w:r w:rsidRPr="00273A1C">
        <w:lastRenderedPageBreak/>
        <w:t>Table des matières</w:t>
      </w:r>
    </w:p>
    <w:p w:rsidR="00BA158A" w:rsidRDefault="0023484B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r w:rsidRPr="00A23A90">
        <w:rPr>
          <w:rFonts w:cs="Times New Roman"/>
          <w:b w:val="0"/>
          <w:kern w:val="1"/>
        </w:rPr>
        <w:fldChar w:fldCharType="begin"/>
      </w:r>
      <w:r w:rsidRPr="00EB4546">
        <w:rPr>
          <w:lang w:val="de-CH"/>
        </w:rPr>
        <w:instrText xml:space="preserve"> TOC \o "1-1" \h \z \t "Titre 2;2;Titre 3;3;Titre 4;4;Titre 2 numéroté;2;Titre 3 numéroté;3;Titre 4 numéroté;4" </w:instrText>
      </w:r>
      <w:r w:rsidRPr="00A23A90">
        <w:rPr>
          <w:rFonts w:cs="Times New Roman"/>
          <w:b w:val="0"/>
          <w:kern w:val="1"/>
        </w:rPr>
        <w:fldChar w:fldCharType="separate"/>
      </w:r>
      <w:hyperlink w:anchor="_Toc138946546" w:history="1">
        <w:r w:rsidR="00BA158A" w:rsidRPr="004A103B">
          <w:rPr>
            <w:rStyle w:val="Hyperlink"/>
          </w:rPr>
          <w:t>1</w:t>
        </w:r>
        <w:bookmarkStart w:id="1" w:name="_GoBack"/>
        <w:bookmarkEnd w:id="1"/>
        <w:r w:rsidR="00BA158A" w:rsidRPr="004A103B">
          <w:rPr>
            <w:rStyle w:val="Hyperlink"/>
          </w:rPr>
          <w:t>.</w:t>
        </w:r>
        <w:r w:rsidR="00BA158A"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="00BA158A" w:rsidRPr="004A103B">
          <w:rPr>
            <w:rStyle w:val="Hyperlink"/>
          </w:rPr>
          <w:t>Introduction</w:t>
        </w:r>
        <w:r w:rsidR="00BA158A">
          <w:rPr>
            <w:webHidden/>
          </w:rPr>
          <w:tab/>
        </w:r>
        <w:r w:rsidR="00BA158A">
          <w:rPr>
            <w:webHidden/>
          </w:rPr>
          <w:fldChar w:fldCharType="begin"/>
        </w:r>
        <w:r w:rsidR="00BA158A">
          <w:rPr>
            <w:webHidden/>
          </w:rPr>
          <w:instrText xml:space="preserve"> PAGEREF _Toc138946546 \h </w:instrText>
        </w:r>
        <w:r w:rsidR="00BA158A">
          <w:rPr>
            <w:webHidden/>
          </w:rPr>
        </w:r>
        <w:r w:rsidR="00BA158A">
          <w:rPr>
            <w:webHidden/>
          </w:rPr>
          <w:fldChar w:fldCharType="separate"/>
        </w:r>
        <w:r w:rsidR="005A5B6F">
          <w:rPr>
            <w:webHidden/>
          </w:rPr>
          <w:t>3</w:t>
        </w:r>
        <w:r w:rsidR="00BA158A">
          <w:rPr>
            <w:webHidden/>
          </w:rPr>
          <w:fldChar w:fldCharType="end"/>
        </w:r>
      </w:hyperlink>
    </w:p>
    <w:p w:rsidR="00BA158A" w:rsidRDefault="00BA158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38946547" w:history="1">
        <w:r w:rsidRPr="004A103B">
          <w:rPr>
            <w:rStyle w:val="Hyperlink"/>
          </w:rPr>
          <w:t>2.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Mode d'emploi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38946548" w:history="1">
        <w:r w:rsidRPr="004A103B">
          <w:rPr>
            <w:rStyle w:val="Hyperlink"/>
          </w:rPr>
          <w:t>2.1.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Pour charger un appareil numérique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38946549" w:history="1">
        <w:r w:rsidRPr="004A103B">
          <w:rPr>
            <w:rStyle w:val="Hyperlink"/>
          </w:rPr>
          <w:t>2.2.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Pour mettre la banque d'alimentation en charge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38946550" w:history="1">
        <w:r w:rsidRPr="004A103B">
          <w:rPr>
            <w:rStyle w:val="Hyperlink"/>
          </w:rPr>
          <w:t>2.3.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Pour vérifier le niveau de la batterie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38946551" w:history="1">
        <w:r w:rsidRPr="004A103B">
          <w:rPr>
            <w:rStyle w:val="Hyperlink"/>
          </w:rPr>
          <w:t>2.4.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Pour sélectionner un mode d'alerte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38946552" w:history="1">
        <w:r w:rsidRPr="004A103B">
          <w:rPr>
            <w:rStyle w:val="Hyperlink"/>
          </w:rPr>
          <w:t>3.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Information relative à l'élimination pour les utilisateurs de DEEE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A158A" w:rsidRDefault="00BA158A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38946553" w:history="1">
        <w:r w:rsidRPr="004A103B">
          <w:rPr>
            <w:rStyle w:val="Hyperlink"/>
          </w:rPr>
          <w:t>4.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A103B">
          <w:rPr>
            <w:rStyle w:val="Hyperlink"/>
          </w:rPr>
          <w:t>Déclaration de conformité simplifiée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_Toc138946553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5B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0BB5" w:rsidRPr="00EB4546" w:rsidRDefault="0023484B" w:rsidP="004C1E26">
      <w:pPr>
        <w:pStyle w:val="Textkrper"/>
        <w:rPr>
          <w:lang w:val="de-CH"/>
        </w:rPr>
      </w:pPr>
      <w:r w:rsidRPr="00A23A90">
        <w:rPr>
          <w:rFonts w:cs="Tahoma"/>
          <w:b/>
          <w:kern w:val="22"/>
        </w:rPr>
        <w:fldChar w:fldCharType="end"/>
      </w:r>
    </w:p>
    <w:p w:rsidR="00273A1C" w:rsidRDefault="009A0BB5" w:rsidP="00273A1C">
      <w:pPr>
        <w:rPr>
          <w:lang w:val="de-CH"/>
        </w:rPr>
      </w:pPr>
      <w:r w:rsidRPr="007258AF">
        <w:rPr>
          <w:lang w:val="de-CH"/>
        </w:rPr>
        <w:br w:type="page"/>
      </w:r>
    </w:p>
    <w:p w:rsidR="00A74422" w:rsidRPr="00A74422" w:rsidRDefault="00C26F29" w:rsidP="00273A1C">
      <w:pPr>
        <w:pStyle w:val="Titre1numrot"/>
      </w:pPr>
      <w:bookmarkStart w:id="2" w:name="_Toc138946546"/>
      <w:r>
        <w:lastRenderedPageBreak/>
        <w:t>Introduction</w:t>
      </w:r>
      <w:bookmarkEnd w:id="2"/>
    </w:p>
    <w:p w:rsidR="00C26F29" w:rsidRDefault="00A74422" w:rsidP="00A74422">
      <w:pPr>
        <w:widowControl/>
        <w:suppressAutoHyphens w:val="0"/>
      </w:pPr>
      <w:r w:rsidRPr="00A74422">
        <w:t>Energrid VS810PD et VS820PDX sont des banques d'alimentation qui ont été spécialement conçues pour les malvoyants. Les Banques d'Alimentation de la série</w:t>
      </w:r>
      <w:r w:rsidR="00C26F29">
        <w:t xml:space="preserve"> </w:t>
      </w:r>
      <w:r w:rsidRPr="00A74422">
        <w:t>VS sont capables de charger un grand nombre d'appareils numériques, notamment les iPhone, iPad, smartphones et tablettes Android.</w:t>
      </w:r>
    </w:p>
    <w:p w:rsidR="00C26F29" w:rsidRDefault="00A74422" w:rsidP="00C57252">
      <w:pPr>
        <w:pStyle w:val="Titre1numrot"/>
      </w:pPr>
      <w:bookmarkStart w:id="3" w:name="_Toc138946547"/>
      <w:r w:rsidRPr="00A74422">
        <w:t>Mode d'emploi</w:t>
      </w:r>
      <w:bookmarkEnd w:id="3"/>
    </w:p>
    <w:p w:rsidR="00C26F29" w:rsidRDefault="00A74422" w:rsidP="00C57252">
      <w:pPr>
        <w:pStyle w:val="Titre2numrot"/>
      </w:pPr>
      <w:bookmarkStart w:id="4" w:name="_Toc138946548"/>
      <w:r w:rsidRPr="00A74422">
        <w:t>Pour charger un appareil numérique</w:t>
      </w:r>
      <w:bookmarkEnd w:id="4"/>
    </w:p>
    <w:p w:rsidR="00C26F29" w:rsidRDefault="00A74422" w:rsidP="00C26F29">
      <w:pPr>
        <w:pStyle w:val="Listennummer"/>
      </w:pPr>
      <w:r w:rsidRPr="00A74422">
        <w:t>Connectez un câble de charge sur l'un des ports de sortie de la banque d'alimentation. Les ports de sortie sont signalés par deux et trois points tactiles.</w:t>
      </w:r>
    </w:p>
    <w:p w:rsidR="00C26F29" w:rsidRDefault="00A74422" w:rsidP="00C26F29">
      <w:pPr>
        <w:pStyle w:val="Listennummer"/>
      </w:pPr>
      <w:r w:rsidRPr="00A74422">
        <w:t>Connectez l'appareil numérique en cours de chargement à l'autre extrémité du câble de chargement.</w:t>
      </w:r>
    </w:p>
    <w:p w:rsidR="00C26F29" w:rsidRDefault="00A74422" w:rsidP="00C26F29">
      <w:pPr>
        <w:pStyle w:val="Listennummer"/>
      </w:pPr>
      <w:r w:rsidRPr="00A74422">
        <w:t>En fonction du mode d'alerte sélectionné, la banque d'alimentation émet un bip court et/ou une vibration, suivis d'un bip long et/ou d'une vibration afin</w:t>
      </w:r>
      <w:r w:rsidR="00C26F29">
        <w:t xml:space="preserve"> </w:t>
      </w:r>
      <w:r w:rsidRPr="00A74422">
        <w:t>de confirmer une connexion normale.</w:t>
      </w:r>
    </w:p>
    <w:p w:rsidR="00C26F29" w:rsidRDefault="00A74422" w:rsidP="00C26F29">
      <w:pPr>
        <w:pStyle w:val="Listennummer"/>
      </w:pPr>
      <w:r w:rsidRPr="00A74422">
        <w:t>Le dispositif numérique est désormais en cours de charge.</w:t>
      </w:r>
    </w:p>
    <w:p w:rsidR="00C26F29" w:rsidRDefault="00A74422" w:rsidP="00A74422">
      <w:pPr>
        <w:widowControl/>
        <w:suppressAutoHyphens w:val="0"/>
      </w:pPr>
      <w:r w:rsidRPr="00A74422">
        <w:t>Remarque : le port USB-C indiqué par deux points tactiles assure des performances de charge plus</w:t>
      </w:r>
      <w:r w:rsidR="00C26F29">
        <w:t xml:space="preserve"> </w:t>
      </w:r>
      <w:r w:rsidRPr="00A74422">
        <w:t>rapides pour les appareils iOS.</w:t>
      </w:r>
    </w:p>
    <w:p w:rsidR="00C26F29" w:rsidRDefault="00A74422" w:rsidP="00C57252">
      <w:pPr>
        <w:pStyle w:val="Titre2numrot"/>
      </w:pPr>
      <w:bookmarkStart w:id="5" w:name="_Toc138946549"/>
      <w:r w:rsidRPr="00A74422">
        <w:t>Pour mettre la banque d'alimentation en charge</w:t>
      </w:r>
      <w:bookmarkEnd w:id="5"/>
    </w:p>
    <w:p w:rsidR="00C26F29" w:rsidRDefault="00A74422" w:rsidP="00C26F29">
      <w:pPr>
        <w:pStyle w:val="Listennummer"/>
        <w:numPr>
          <w:ilvl w:val="0"/>
          <w:numId w:val="41"/>
        </w:numPr>
      </w:pPr>
      <w:r w:rsidRPr="00A74422">
        <w:t>Connectez un câble de charge sur un chargeur USB. Le chargeur USB doté d'un courant de sortie minimal de 2A qui accompagne généralement un smartphone ou</w:t>
      </w:r>
      <w:r w:rsidR="00C26F29">
        <w:t xml:space="preserve"> </w:t>
      </w:r>
      <w:r w:rsidRPr="00A74422">
        <w:t>une tablette ordinaire convient parfaitement pour charger la banque d'alimentation.</w:t>
      </w:r>
    </w:p>
    <w:p w:rsidR="00C26F29" w:rsidRDefault="00A74422" w:rsidP="00C26F29">
      <w:pPr>
        <w:pStyle w:val="Listennummer"/>
      </w:pPr>
      <w:r w:rsidRPr="00A74422">
        <w:t>Connectez l'autre extrémité du câble de charge à l'un des ports d'entrée de la banque d'alimentation. Les ports d'entrée sont indiqués par un et deux points</w:t>
      </w:r>
      <w:r w:rsidR="00C26F29">
        <w:t xml:space="preserve"> </w:t>
      </w:r>
      <w:r w:rsidRPr="00A74422">
        <w:t>tactiles.</w:t>
      </w:r>
    </w:p>
    <w:p w:rsidR="00C26F29" w:rsidRDefault="00A74422" w:rsidP="00C26F29">
      <w:pPr>
        <w:pStyle w:val="Listennummer"/>
      </w:pPr>
      <w:r w:rsidRPr="00A74422">
        <w:t>En fonction du mode d'alerte sélectionné, la banque d'alimentation émet un long bip et/ou une vibration, suivi d'un court bip et/ou d'une vibration afin</w:t>
      </w:r>
      <w:r w:rsidR="00C26F29">
        <w:t xml:space="preserve"> </w:t>
      </w:r>
      <w:r w:rsidRPr="00A74422">
        <w:t>de confirmer une connexion normale.</w:t>
      </w:r>
    </w:p>
    <w:p w:rsidR="00C26F29" w:rsidRDefault="00A74422" w:rsidP="00C26F29">
      <w:pPr>
        <w:pStyle w:val="Listennummer"/>
      </w:pPr>
      <w:r w:rsidRPr="00A74422">
        <w:t>La banque d'énergie est désormais en cours de chargement.</w:t>
      </w:r>
    </w:p>
    <w:p w:rsidR="00763FE0" w:rsidRDefault="00A74422" w:rsidP="00A74422">
      <w:pPr>
        <w:widowControl/>
        <w:suppressAutoHyphens w:val="0"/>
      </w:pPr>
      <w:r w:rsidRPr="00A74422">
        <w:t>Remarque : le port USB-C indiqué par deux points tactiles correspond à un port combiné d'entrée</w:t>
      </w:r>
      <w:r w:rsidR="00C26F29">
        <w:t xml:space="preserve"> </w:t>
      </w:r>
      <w:r w:rsidRPr="00A74422">
        <w:t>et de sortie. L'utilisateur peut ainsi recharger la banque d'alimentation ou charger un appareil numérique via ce même port.</w:t>
      </w:r>
    </w:p>
    <w:p w:rsidR="00763FE0" w:rsidRDefault="00A74422" w:rsidP="00C57252">
      <w:pPr>
        <w:pStyle w:val="Titre2numrot"/>
      </w:pPr>
      <w:bookmarkStart w:id="6" w:name="_Toc138946550"/>
      <w:r w:rsidRPr="00A74422">
        <w:t>Pour vérifier le niveau de la batterie</w:t>
      </w:r>
      <w:bookmarkEnd w:id="6"/>
    </w:p>
    <w:p w:rsidR="00763FE0" w:rsidRDefault="00A74422" w:rsidP="00763FE0">
      <w:pPr>
        <w:pStyle w:val="Listennummer"/>
        <w:numPr>
          <w:ilvl w:val="0"/>
          <w:numId w:val="42"/>
        </w:numPr>
      </w:pPr>
      <w:r w:rsidRPr="00A74422">
        <w:t>Appuyez sur le bouton d'alimentation.</w:t>
      </w:r>
    </w:p>
    <w:p w:rsidR="00763FE0" w:rsidRDefault="00A74422" w:rsidP="00763FE0">
      <w:pPr>
        <w:pStyle w:val="Listennummer"/>
      </w:pPr>
      <w:r w:rsidRPr="00A74422">
        <w:t>En fonction du mode d'alerte sélectionné, la banque d'alimentation émet des bips et/ou des vibrations selon les schémas suivants afin d'indiquer différentes</w:t>
      </w:r>
      <w:r w:rsidR="00C26F29">
        <w:t xml:space="preserve"> </w:t>
      </w:r>
      <w:r w:rsidRPr="00A74422">
        <w:t>plages de niveau de batterie :</w:t>
      </w:r>
    </w:p>
    <w:p w:rsidR="00763FE0" w:rsidRDefault="00A74422" w:rsidP="00763FE0">
      <w:pPr>
        <w:pStyle w:val="Listennummer2"/>
      </w:pPr>
      <w:r w:rsidRPr="00A74422">
        <w:t>0 % à 25 % -un bip rapide et/ou une vibration</w:t>
      </w:r>
    </w:p>
    <w:p w:rsidR="00763FE0" w:rsidRDefault="00A74422" w:rsidP="00763FE0">
      <w:pPr>
        <w:pStyle w:val="Listennummer2"/>
      </w:pPr>
      <w:r w:rsidRPr="00A74422">
        <w:t>25 % à 50 % -deux bips rapides et/ou vibrations</w:t>
      </w:r>
    </w:p>
    <w:p w:rsidR="00763FE0" w:rsidRDefault="00A74422" w:rsidP="00763FE0">
      <w:pPr>
        <w:pStyle w:val="Listennummer2"/>
      </w:pPr>
      <w:r w:rsidRPr="00A74422">
        <w:t>50 % à 75 % -trois</w:t>
      </w:r>
      <w:r w:rsidR="00C26F29">
        <w:t xml:space="preserve"> </w:t>
      </w:r>
      <w:r w:rsidRPr="00A74422">
        <w:t>bips rapides et/ou vibrations</w:t>
      </w:r>
    </w:p>
    <w:p w:rsidR="00BA158A" w:rsidRDefault="00A74422" w:rsidP="00763FE0">
      <w:pPr>
        <w:pStyle w:val="Listennummer2"/>
      </w:pPr>
      <w:r w:rsidRPr="00A74422">
        <w:t>75 % à 100 % -quatre bips rapides et/ou vibrations</w:t>
      </w:r>
    </w:p>
    <w:p w:rsidR="00BA158A" w:rsidRDefault="00BA158A">
      <w:pPr>
        <w:widowControl/>
        <w:suppressAutoHyphens w:val="0"/>
      </w:pPr>
      <w:r>
        <w:br w:type="page"/>
      </w:r>
    </w:p>
    <w:p w:rsidR="00763FE0" w:rsidRDefault="00A74422" w:rsidP="00C57252">
      <w:pPr>
        <w:pStyle w:val="Titre2numrot"/>
      </w:pPr>
      <w:bookmarkStart w:id="7" w:name="_Toc138946551"/>
      <w:r w:rsidRPr="00A74422">
        <w:lastRenderedPageBreak/>
        <w:t>Pour sélectionner un mode d'alerte</w:t>
      </w:r>
      <w:bookmarkEnd w:id="7"/>
    </w:p>
    <w:p w:rsidR="00763FE0" w:rsidRDefault="00A74422" w:rsidP="00A74422">
      <w:pPr>
        <w:widowControl/>
        <w:suppressAutoHyphens w:val="0"/>
      </w:pPr>
      <w:r w:rsidRPr="00A74422">
        <w:t>Pour changer le mode d'alerte, maintenez le bouton d'alimentation enfoncé durant deux secondes. En fonction du mode d'alerte sélectionné, la banque d'alimentation</w:t>
      </w:r>
      <w:r w:rsidR="00C26F29">
        <w:t xml:space="preserve"> </w:t>
      </w:r>
      <w:r w:rsidRPr="00A74422">
        <w:t>émet un bip et/ou une vibration afin d'indiquer la nouvelle sélection.</w:t>
      </w:r>
    </w:p>
    <w:p w:rsidR="00763FE0" w:rsidRDefault="00A74422" w:rsidP="00C57252">
      <w:pPr>
        <w:pStyle w:val="Titre1numrot"/>
      </w:pPr>
      <w:bookmarkStart w:id="8" w:name="_Toc138946552"/>
      <w:r w:rsidRPr="00A74422">
        <w:t>Information relative à l'élimination pour les utilisateurs de DEEE</w:t>
      </w:r>
      <w:bookmarkEnd w:id="8"/>
    </w:p>
    <w:p w:rsidR="00763FE0" w:rsidRDefault="00A74422" w:rsidP="00A74422">
      <w:pPr>
        <w:widowControl/>
        <w:suppressAutoHyphens w:val="0"/>
      </w:pPr>
      <w:r w:rsidRPr="00A74422">
        <w:t>Ce symbole figurant sur le produit et/ou les documents d'accompagnement indique que les équipements électriques et électroniques usagés (DEEE) ne sont</w:t>
      </w:r>
      <w:r w:rsidR="00C26F29">
        <w:t xml:space="preserve"> </w:t>
      </w:r>
      <w:r w:rsidRPr="00A74422">
        <w:t>pas destinés à être mélangés aux déchets ménagers généraux.</w:t>
      </w:r>
    </w:p>
    <w:p w:rsidR="00763FE0" w:rsidRDefault="00A74422" w:rsidP="00A74422">
      <w:pPr>
        <w:widowControl/>
        <w:suppressAutoHyphens w:val="0"/>
      </w:pPr>
      <w:r w:rsidRPr="00A74422">
        <w:t>Afin d'assurer un traitement, une récupération et un recyclage appropriés, veuillez apporter</w:t>
      </w:r>
      <w:r w:rsidR="00C26F29">
        <w:t xml:space="preserve"> </w:t>
      </w:r>
      <w:r w:rsidRPr="00A74422">
        <w:t>ce(s) produit(s) à des points de collecte désignés où il(s) sera(ont) accepté(s) gratuitement. Par ailleurs, dans certains pays, il se peut que vous puissiez</w:t>
      </w:r>
      <w:r w:rsidR="00C26F29">
        <w:t xml:space="preserve"> </w:t>
      </w:r>
      <w:r w:rsidRPr="00A74422">
        <w:t>retourner vos produits auprès de votre détaillant local après avoir acheté un nouveau produit équivalent.</w:t>
      </w:r>
      <w:r w:rsidR="00C26F29">
        <w:t xml:space="preserve"> </w:t>
      </w:r>
    </w:p>
    <w:p w:rsidR="00763FE0" w:rsidRDefault="00A74422" w:rsidP="00A74422">
      <w:pPr>
        <w:widowControl/>
        <w:suppressAutoHyphens w:val="0"/>
      </w:pPr>
      <w:r w:rsidRPr="00A74422">
        <w:t>Une élimination correcte de ce produit permettra d'économiser des ressources précieuses et évitera tout effet négatif potentiel sur la santé humaine et</w:t>
      </w:r>
      <w:r w:rsidR="00C26F29">
        <w:t xml:space="preserve"> </w:t>
      </w:r>
      <w:r w:rsidRPr="00A74422">
        <w:t>l'environnement, susceptible de résulter d'une manipulation inappropriée des déchets.</w:t>
      </w:r>
    </w:p>
    <w:p w:rsidR="00763FE0" w:rsidRDefault="00A74422" w:rsidP="00A74422">
      <w:pPr>
        <w:widowControl/>
        <w:suppressAutoHyphens w:val="0"/>
      </w:pPr>
      <w:r w:rsidRPr="00A74422">
        <w:t>Veuillez contacter votre autorité locale pour plus de détails sur</w:t>
      </w:r>
      <w:r w:rsidR="00C26F29">
        <w:t xml:space="preserve"> </w:t>
      </w:r>
      <w:r w:rsidRPr="00A74422">
        <w:t>le point de collecte désigné le plus proche.</w:t>
      </w:r>
    </w:p>
    <w:p w:rsidR="00763FE0" w:rsidRDefault="00A74422" w:rsidP="00A74422">
      <w:pPr>
        <w:widowControl/>
        <w:suppressAutoHyphens w:val="0"/>
      </w:pPr>
      <w:r w:rsidRPr="00A74422">
        <w:t>En cas d'élimination incorrecte de ces déchets, des pénalités peuvent être appliquées, conformément à votre législation nationale.</w:t>
      </w:r>
    </w:p>
    <w:p w:rsidR="00763FE0" w:rsidRDefault="00A74422" w:rsidP="00C57252">
      <w:pPr>
        <w:pStyle w:val="Titre1numrot"/>
      </w:pPr>
      <w:bookmarkStart w:id="9" w:name="_Toc138946553"/>
      <w:r w:rsidRPr="00A74422">
        <w:t>Déclaration de conformité simplifiée</w:t>
      </w:r>
      <w:bookmarkEnd w:id="9"/>
    </w:p>
    <w:p w:rsidR="00763FE0" w:rsidRDefault="00A74422" w:rsidP="00A74422">
      <w:pPr>
        <w:widowControl/>
        <w:suppressAutoHyphens w:val="0"/>
      </w:pPr>
      <w:r w:rsidRPr="00A74422">
        <w:t>Par la présente, 2the Max Asia Pacific Limited affirme que l'équipement radio de type banque d'alimentation est conforme à la directive 2014/30/EU.</w:t>
      </w:r>
      <w:r w:rsidR="00C26F29">
        <w:t xml:space="preserve"> </w:t>
      </w:r>
      <w:r w:rsidRPr="00A74422">
        <w:t xml:space="preserve">Le texte intégral de la déclaration de conformité de l'UE est disponible à l'adresse internet suivante : </w:t>
      </w:r>
    </w:p>
    <w:p w:rsidR="00EB4546" w:rsidRDefault="00F15285" w:rsidP="00A74422">
      <w:pPr>
        <w:widowControl/>
        <w:suppressAutoHyphens w:val="0"/>
      </w:pPr>
      <w:hyperlink r:id="rId12" w:history="1">
        <w:r w:rsidR="00763FE0" w:rsidRPr="005C7B68">
          <w:rPr>
            <w:rStyle w:val="Hyperlink"/>
          </w:rPr>
          <w:t>www.matapo.com/conformity</w:t>
        </w:r>
      </w:hyperlink>
    </w:p>
    <w:p w:rsidR="00763FE0" w:rsidRDefault="00763FE0" w:rsidP="00A74422">
      <w:pPr>
        <w:widowControl/>
        <w:suppressAutoHyphens w:val="0"/>
      </w:pPr>
    </w:p>
    <w:p w:rsidR="00763FE0" w:rsidRDefault="00763FE0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A74422">
        <w:rPr>
          <w:lang w:val="de-CH"/>
        </w:rPr>
        <w:t>D</w:t>
      </w:r>
    </w:p>
    <w:p w:rsidR="0064143F" w:rsidRDefault="0064143F" w:rsidP="00EB4546">
      <w:pPr>
        <w:pStyle w:val="Textkrper"/>
        <w:rPr>
          <w:lang w:val="de-CH"/>
        </w:rPr>
      </w:pPr>
      <w:r w:rsidRPr="00A74422">
        <w:rPr>
          <w:lang w:val="de-CH"/>
        </w:rPr>
        <w:t>Niederlenzer Kirchweg 1</w:t>
      </w:r>
    </w:p>
    <w:p w:rsidR="0064143F" w:rsidRPr="0064143F" w:rsidRDefault="0064143F" w:rsidP="00EB4546">
      <w:pPr>
        <w:pStyle w:val="Textkrper"/>
        <w:rPr>
          <w:lang w:val="de-CH"/>
        </w:rPr>
      </w:pPr>
      <w:r w:rsidRPr="00A74422">
        <w:rPr>
          <w:lang w:val="de-CH"/>
        </w:rPr>
        <w:t>5600 Lenzburg</w:t>
      </w:r>
    </w:p>
    <w:p w:rsidR="00EB4546" w:rsidRPr="0064143F" w:rsidRDefault="00EB4546" w:rsidP="00EB4546">
      <w:pPr>
        <w:pStyle w:val="Textkrper"/>
        <w:rPr>
          <w:lang w:val="de-CH"/>
        </w:rPr>
      </w:pPr>
      <w:r w:rsidRPr="0064143F">
        <w:rPr>
          <w:lang w:val="de-CH"/>
        </w:rPr>
        <w:t>Tel</w:t>
      </w:r>
      <w:r w:rsidRPr="0064143F">
        <w:rPr>
          <w:lang w:val="de-CH"/>
        </w:rPr>
        <w:tab/>
        <w:t>+41 (0)21 345 00 50</w:t>
      </w:r>
    </w:p>
    <w:p w:rsidR="00EB4546" w:rsidRPr="0064143F" w:rsidRDefault="00EB4546" w:rsidP="00EB4546">
      <w:pPr>
        <w:pStyle w:val="Textkrper"/>
        <w:rPr>
          <w:lang w:val="de-CH"/>
        </w:rPr>
      </w:pPr>
      <w:r w:rsidRPr="0064143F">
        <w:rPr>
          <w:lang w:val="de-CH"/>
        </w:rPr>
        <w:t>Fax</w:t>
      </w:r>
      <w:r w:rsidRPr="0064143F">
        <w:rPr>
          <w:lang w:val="de-CH"/>
        </w:rPr>
        <w:tab/>
        <w:t>+41 (0)21 345 00 68</w:t>
      </w:r>
    </w:p>
    <w:p w:rsidR="00EB4546" w:rsidRPr="00A74422" w:rsidRDefault="00EB4546" w:rsidP="00EB4546">
      <w:pPr>
        <w:pStyle w:val="Textkrper"/>
      </w:pPr>
      <w:r w:rsidRPr="00A7442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3"/>
      <w:footerReference w:type="default" r:id="rId14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85" w:rsidRDefault="00F15285">
      <w:r>
        <w:separator/>
      </w:r>
    </w:p>
  </w:endnote>
  <w:endnote w:type="continuationSeparator" w:id="0">
    <w:p w:rsidR="00F15285" w:rsidRDefault="00F1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273A1C">
      <w:t>21.06.2023</w:t>
    </w:r>
    <w:r>
      <w:fldChar w:fldCharType="end"/>
    </w:r>
    <w:r>
      <w:ptab w:relativeTo="margin" w:alignment="center" w:leader="none"/>
    </w:r>
    <w:r w:rsidR="00F15285">
      <w:fldChar w:fldCharType="begin"/>
    </w:r>
    <w:r w:rsidR="00F15285">
      <w:instrText xml:space="preserve"> FILENAME   \* MERGEFORMAT </w:instrText>
    </w:r>
    <w:r w:rsidR="00F15285">
      <w:fldChar w:fldCharType="separate"/>
    </w:r>
    <w:r w:rsidR="007F15E6">
      <w:t>Dokument2</w:t>
    </w:r>
    <w:r w:rsidR="00F15285">
      <w:fldChar w:fldCharType="end"/>
    </w:r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85" w:rsidRDefault="00F15285">
      <w:r>
        <w:separator/>
      </w:r>
    </w:p>
  </w:footnote>
  <w:footnote w:type="continuationSeparator" w:id="0">
    <w:p w:rsidR="00F15285" w:rsidRDefault="00F1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73A1C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0605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5B6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3F7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C4CB3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258AF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3FE0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4422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158A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C02205"/>
    <w:rsid w:val="00C13098"/>
    <w:rsid w:val="00C15267"/>
    <w:rsid w:val="00C15B96"/>
    <w:rsid w:val="00C175C5"/>
    <w:rsid w:val="00C23132"/>
    <w:rsid w:val="00C24AA2"/>
    <w:rsid w:val="00C250C1"/>
    <w:rsid w:val="00C26F29"/>
    <w:rsid w:val="00C34042"/>
    <w:rsid w:val="00C36735"/>
    <w:rsid w:val="00C45748"/>
    <w:rsid w:val="00C45945"/>
    <w:rsid w:val="00C45F54"/>
    <w:rsid w:val="00C475E7"/>
    <w:rsid w:val="00C55580"/>
    <w:rsid w:val="00C57252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285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4D1EF0C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tapo.com/conform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5303AE"/>
    <w:rsid w:val="00A62BAE"/>
    <w:rsid w:val="00D86AD0"/>
    <w:rsid w:val="00E61EE5"/>
    <w:rsid w:val="00E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2A421FF-AA81-40EF-B687-6062B1B7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5</Pages>
  <Words>775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5649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10</cp:revision>
  <cp:lastPrinted>2021-02-16T15:17:00Z</cp:lastPrinted>
  <dcterms:created xsi:type="dcterms:W3CDTF">2023-05-25T09:41:00Z</dcterms:created>
  <dcterms:modified xsi:type="dcterms:W3CDTF">2023-06-29T13:56:00Z</dcterms:modified>
</cp:coreProperties>
</file>