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Default="00EB4546" w:rsidP="00566E51">
      <w:pPr>
        <w:pStyle w:val="Titel"/>
        <w:rPr>
          <w:lang w:val="fr-CH"/>
        </w:rPr>
      </w:pPr>
      <w:r>
        <w:t xml:space="preserve">Mode </w:t>
      </w:r>
      <w:proofErr w:type="spellStart"/>
      <w:r>
        <w:t>d'emploi</w:t>
      </w:r>
      <w:proofErr w:type="spellEnd"/>
      <w:r w:rsidR="0046530B">
        <w:t xml:space="preserve"> </w:t>
      </w:r>
      <w:proofErr w:type="spellStart"/>
      <w:r w:rsidR="0046530B" w:rsidRPr="0046530B">
        <w:t>Ouvre-boîte</w:t>
      </w:r>
      <w:proofErr w:type="spellEnd"/>
    </w:p>
    <w:p w:rsidR="00EB4546" w:rsidRDefault="00EB4546" w:rsidP="00EB4546">
      <w:pPr>
        <w:pStyle w:val="Textkrper"/>
      </w:pPr>
    </w:p>
    <w:p w:rsidR="00EB4546" w:rsidRDefault="00EB4546" w:rsidP="00EB4546">
      <w:pPr>
        <w:pStyle w:val="Textkrper"/>
      </w:pPr>
    </w:p>
    <w:p w:rsidR="00EB4546" w:rsidRDefault="0046530B" w:rsidP="00EB4546">
      <w:pPr>
        <w:pStyle w:val="Textkrper"/>
      </w:pPr>
      <w:r w:rsidRPr="0046530B">
        <w:drawing>
          <wp:inline distT="0" distB="0" distL="0" distR="0" wp14:anchorId="640171D1" wp14:editId="26783FA9">
            <wp:extent cx="5486400" cy="3511691"/>
            <wp:effectExtent l="0" t="0" r="0" b="0"/>
            <wp:docPr id="4" name="Grafik 4" descr="Image ouvre-boî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9_60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0388" cy="3514244"/>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46530B">
        <w:t>09.600</w:t>
      </w:r>
    </w:p>
    <w:p w:rsidR="00EB4546" w:rsidRDefault="00EB4546" w:rsidP="00EB4546">
      <w:pPr>
        <w:pStyle w:val="Textkrper"/>
      </w:pPr>
      <w:r>
        <w:t xml:space="preserve">Etat : </w:t>
      </w:r>
      <w:r w:rsidR="0046530B">
        <w:t>09.10.2023</w:t>
      </w:r>
    </w:p>
    <w:p w:rsidR="00EB4546" w:rsidRDefault="00EB4546">
      <w:pPr>
        <w:widowControl/>
        <w:suppressAutoHyphens w:val="0"/>
      </w:pPr>
      <w:r>
        <w:br w:type="page"/>
      </w:r>
    </w:p>
    <w:p w:rsidR="0023484B" w:rsidRPr="0046530B" w:rsidRDefault="0023484B" w:rsidP="001A17AF">
      <w:pPr>
        <w:pStyle w:val="Inhaltsverzeichnisberschrift"/>
      </w:pPr>
      <w:r w:rsidRPr="0046530B">
        <w:lastRenderedPageBreak/>
        <w:t>Table des matières</w:t>
      </w:r>
    </w:p>
    <w:p w:rsidR="0046530B"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7739985" w:history="1">
        <w:r w:rsidR="0046530B" w:rsidRPr="006149FC">
          <w:rPr>
            <w:rStyle w:val="Hyperlink"/>
          </w:rPr>
          <w:t>1.</w:t>
        </w:r>
        <w:r w:rsidR="0046530B">
          <w:rPr>
            <w:rFonts w:eastAsiaTheme="minorEastAsia" w:cstheme="minorBidi"/>
            <w:b w:val="0"/>
            <w:kern w:val="0"/>
            <w:szCs w:val="22"/>
            <w:lang w:val="de-CH"/>
          </w:rPr>
          <w:tab/>
        </w:r>
        <w:r w:rsidR="0046530B" w:rsidRPr="006149FC">
          <w:rPr>
            <w:rStyle w:val="Hyperlink"/>
          </w:rPr>
          <w:t>Particularités</w:t>
        </w:r>
        <w:r w:rsidR="0046530B">
          <w:rPr>
            <w:webHidden/>
          </w:rPr>
          <w:tab/>
        </w:r>
        <w:r w:rsidR="0046530B">
          <w:rPr>
            <w:webHidden/>
          </w:rPr>
          <w:fldChar w:fldCharType="begin"/>
        </w:r>
        <w:r w:rsidR="0046530B">
          <w:rPr>
            <w:webHidden/>
          </w:rPr>
          <w:instrText xml:space="preserve"> PAGEREF _Toc147739985 \h </w:instrText>
        </w:r>
        <w:r w:rsidR="0046530B">
          <w:rPr>
            <w:webHidden/>
          </w:rPr>
        </w:r>
        <w:r w:rsidR="0046530B">
          <w:rPr>
            <w:webHidden/>
          </w:rPr>
          <w:fldChar w:fldCharType="separate"/>
        </w:r>
        <w:r w:rsidR="0046530B">
          <w:rPr>
            <w:webHidden/>
          </w:rPr>
          <w:t>3</w:t>
        </w:r>
        <w:r w:rsidR="0046530B">
          <w:rPr>
            <w:webHidden/>
          </w:rPr>
          <w:fldChar w:fldCharType="end"/>
        </w:r>
      </w:hyperlink>
    </w:p>
    <w:p w:rsidR="0046530B" w:rsidRDefault="0046530B">
      <w:pPr>
        <w:pStyle w:val="Verzeichnis1"/>
        <w:rPr>
          <w:rFonts w:eastAsiaTheme="minorEastAsia" w:cstheme="minorBidi"/>
          <w:b w:val="0"/>
          <w:kern w:val="0"/>
          <w:szCs w:val="22"/>
          <w:lang w:val="de-CH"/>
        </w:rPr>
      </w:pPr>
      <w:hyperlink w:anchor="_Toc147739986" w:history="1">
        <w:r w:rsidRPr="006149FC">
          <w:rPr>
            <w:rStyle w:val="Hyperlink"/>
          </w:rPr>
          <w:t>2.</w:t>
        </w:r>
        <w:r>
          <w:rPr>
            <w:rFonts w:eastAsiaTheme="minorEastAsia" w:cstheme="minorBidi"/>
            <w:b w:val="0"/>
            <w:kern w:val="0"/>
            <w:szCs w:val="22"/>
            <w:lang w:val="de-CH"/>
          </w:rPr>
          <w:tab/>
        </w:r>
        <w:r w:rsidRPr="006149FC">
          <w:rPr>
            <w:rStyle w:val="Hyperlink"/>
          </w:rPr>
          <w:t>Description de l’outil</w:t>
        </w:r>
        <w:r>
          <w:rPr>
            <w:webHidden/>
          </w:rPr>
          <w:tab/>
        </w:r>
        <w:r>
          <w:rPr>
            <w:webHidden/>
          </w:rPr>
          <w:fldChar w:fldCharType="begin"/>
        </w:r>
        <w:r>
          <w:rPr>
            <w:webHidden/>
          </w:rPr>
          <w:instrText xml:space="preserve"> PAGEREF _Toc147739986 \h </w:instrText>
        </w:r>
        <w:r>
          <w:rPr>
            <w:webHidden/>
          </w:rPr>
        </w:r>
        <w:r>
          <w:rPr>
            <w:webHidden/>
          </w:rPr>
          <w:fldChar w:fldCharType="separate"/>
        </w:r>
        <w:r>
          <w:rPr>
            <w:webHidden/>
          </w:rPr>
          <w:t>3</w:t>
        </w:r>
        <w:r>
          <w:rPr>
            <w:webHidden/>
          </w:rPr>
          <w:fldChar w:fldCharType="end"/>
        </w:r>
      </w:hyperlink>
    </w:p>
    <w:p w:rsidR="0046530B" w:rsidRDefault="0046530B">
      <w:pPr>
        <w:pStyle w:val="Verzeichnis1"/>
        <w:rPr>
          <w:rFonts w:eastAsiaTheme="minorEastAsia" w:cstheme="minorBidi"/>
          <w:b w:val="0"/>
          <w:kern w:val="0"/>
          <w:szCs w:val="22"/>
          <w:lang w:val="de-CH"/>
        </w:rPr>
      </w:pPr>
      <w:hyperlink w:anchor="_Toc147739987" w:history="1">
        <w:r w:rsidRPr="006149FC">
          <w:rPr>
            <w:rStyle w:val="Hyperlink"/>
          </w:rPr>
          <w:t>3.</w:t>
        </w:r>
        <w:r>
          <w:rPr>
            <w:rFonts w:eastAsiaTheme="minorEastAsia" w:cstheme="minorBidi"/>
            <w:b w:val="0"/>
            <w:kern w:val="0"/>
            <w:szCs w:val="22"/>
            <w:lang w:val="de-CH"/>
          </w:rPr>
          <w:tab/>
        </w:r>
        <w:r w:rsidRPr="006149FC">
          <w:rPr>
            <w:rStyle w:val="Hyperlink"/>
          </w:rPr>
          <w:t>Mode d’emploi</w:t>
        </w:r>
        <w:r>
          <w:rPr>
            <w:webHidden/>
          </w:rPr>
          <w:tab/>
        </w:r>
        <w:r>
          <w:rPr>
            <w:webHidden/>
          </w:rPr>
          <w:fldChar w:fldCharType="begin"/>
        </w:r>
        <w:r>
          <w:rPr>
            <w:webHidden/>
          </w:rPr>
          <w:instrText xml:space="preserve"> PAGEREF _Toc147739987 \h </w:instrText>
        </w:r>
        <w:r>
          <w:rPr>
            <w:webHidden/>
          </w:rPr>
        </w:r>
        <w:r>
          <w:rPr>
            <w:webHidden/>
          </w:rPr>
          <w:fldChar w:fldCharType="separate"/>
        </w:r>
        <w:r>
          <w:rPr>
            <w:webHidden/>
          </w:rPr>
          <w:t>3</w:t>
        </w:r>
        <w:r>
          <w:rPr>
            <w:webHidden/>
          </w:rPr>
          <w:fldChar w:fldCharType="end"/>
        </w:r>
      </w:hyperlink>
    </w:p>
    <w:p w:rsidR="0046530B" w:rsidRDefault="0046530B">
      <w:pPr>
        <w:pStyle w:val="Verzeichnis1"/>
        <w:rPr>
          <w:rFonts w:eastAsiaTheme="minorEastAsia" w:cstheme="minorBidi"/>
          <w:b w:val="0"/>
          <w:kern w:val="0"/>
          <w:szCs w:val="22"/>
          <w:lang w:val="de-CH"/>
        </w:rPr>
      </w:pPr>
      <w:hyperlink w:anchor="_Toc147739988" w:history="1">
        <w:r w:rsidRPr="006149FC">
          <w:rPr>
            <w:rStyle w:val="Hyperlink"/>
          </w:rPr>
          <w:t>4.</w:t>
        </w:r>
        <w:r>
          <w:rPr>
            <w:rFonts w:eastAsiaTheme="minorEastAsia" w:cstheme="minorBidi"/>
            <w:b w:val="0"/>
            <w:kern w:val="0"/>
            <w:szCs w:val="22"/>
            <w:lang w:val="de-CH"/>
          </w:rPr>
          <w:tab/>
        </w:r>
        <w:r w:rsidRPr="006149FC">
          <w:rPr>
            <w:rStyle w:val="Hyperlink"/>
          </w:rPr>
          <w:t>Remarques</w:t>
        </w:r>
        <w:r>
          <w:rPr>
            <w:webHidden/>
          </w:rPr>
          <w:tab/>
        </w:r>
        <w:r>
          <w:rPr>
            <w:webHidden/>
          </w:rPr>
          <w:fldChar w:fldCharType="begin"/>
        </w:r>
        <w:r>
          <w:rPr>
            <w:webHidden/>
          </w:rPr>
          <w:instrText xml:space="preserve"> PAGEREF _Toc147739988 \h </w:instrText>
        </w:r>
        <w:r>
          <w:rPr>
            <w:webHidden/>
          </w:rPr>
        </w:r>
        <w:r>
          <w:rPr>
            <w:webHidden/>
          </w:rPr>
          <w:fldChar w:fldCharType="separate"/>
        </w:r>
        <w:r>
          <w:rPr>
            <w:webHidden/>
          </w:rPr>
          <w:t>3</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46530B" w:rsidRDefault="009A0BB5" w:rsidP="00AD3EE2">
      <w:pPr>
        <w:pStyle w:val="Textkrper"/>
      </w:pPr>
      <w:r w:rsidRPr="0046530B">
        <w:br w:type="page"/>
      </w:r>
    </w:p>
    <w:p w:rsidR="0046530B" w:rsidRPr="0046530B" w:rsidRDefault="0046530B" w:rsidP="0046530B">
      <w:pPr>
        <w:pStyle w:val="Titre1numrot"/>
      </w:pPr>
      <w:bookmarkStart w:id="1" w:name="_Toc147739985"/>
      <w:r w:rsidRPr="0046530B">
        <w:lastRenderedPageBreak/>
        <w:t>Particularités</w:t>
      </w:r>
      <w:bookmarkEnd w:id="1"/>
    </w:p>
    <w:p w:rsidR="0046530B" w:rsidRPr="0046530B" w:rsidRDefault="0046530B" w:rsidP="0046530B">
      <w:pPr>
        <w:pStyle w:val="Aufzhlungszeichen"/>
      </w:pPr>
      <w:r w:rsidRPr="0046530B">
        <w:t>les bords de la boîte ne sont pas coupants;</w:t>
      </w:r>
    </w:p>
    <w:p w:rsidR="0046530B" w:rsidRPr="0046530B" w:rsidRDefault="0046530B" w:rsidP="0046530B">
      <w:pPr>
        <w:pStyle w:val="Aufzhlungszeichen"/>
      </w:pPr>
      <w:r w:rsidRPr="0046530B">
        <w:t>le couvercle ne tombe pas dans la boîte;</w:t>
      </w:r>
    </w:p>
    <w:p w:rsidR="0046530B" w:rsidRPr="0046530B" w:rsidRDefault="0046530B" w:rsidP="0046530B">
      <w:pPr>
        <w:pStyle w:val="Aufzhlungszeichen"/>
      </w:pPr>
      <w:r w:rsidRPr="0046530B">
        <w:t>la lame de la roulette n’entre pas en contact avec le contenu de la boîte;</w:t>
      </w:r>
    </w:p>
    <w:p w:rsidR="0046530B" w:rsidRPr="0046530B" w:rsidRDefault="0046530B" w:rsidP="0046530B">
      <w:pPr>
        <w:pStyle w:val="Aufzhlungszeichen"/>
      </w:pPr>
      <w:r w:rsidRPr="0046530B">
        <w:t>le couvercle peut être replacé sur la boîte.</w:t>
      </w:r>
    </w:p>
    <w:p w:rsidR="0046530B" w:rsidRPr="0046530B" w:rsidRDefault="0046530B" w:rsidP="0046530B">
      <w:pPr>
        <w:pStyle w:val="Textkrper"/>
      </w:pPr>
      <w:r w:rsidRPr="0046530B">
        <w:t xml:space="preserve">Cet ouvre-boîte n’ouvre pas le couvercle en haut, mais sur le côté. </w:t>
      </w:r>
    </w:p>
    <w:p w:rsidR="0046530B" w:rsidRPr="0046530B" w:rsidRDefault="0046530B" w:rsidP="0046530B">
      <w:pPr>
        <w:pStyle w:val="Titre1numrot"/>
      </w:pPr>
      <w:bookmarkStart w:id="2" w:name="_Toc147739986"/>
      <w:bookmarkStart w:id="3" w:name="_GoBack"/>
      <w:bookmarkEnd w:id="3"/>
      <w:r w:rsidRPr="0046530B">
        <w:t>Description de l’outil</w:t>
      </w:r>
      <w:bookmarkEnd w:id="2"/>
    </w:p>
    <w:p w:rsidR="0046530B" w:rsidRPr="0046530B" w:rsidRDefault="0046530B" w:rsidP="0046530B">
      <w:pPr>
        <w:pStyle w:val="Textkrper"/>
      </w:pPr>
      <w:r w:rsidRPr="0046530B">
        <w:t>Saisissez l’ouvre-boîte de sorte que les ailettes se trouvent à droite et l’élément de protection à gauche.</w:t>
      </w:r>
    </w:p>
    <w:p w:rsidR="0046530B" w:rsidRPr="0046530B" w:rsidRDefault="0046530B" w:rsidP="0046530B">
      <w:pPr>
        <w:pStyle w:val="Textkrper"/>
      </w:pPr>
      <w:r w:rsidRPr="0046530B">
        <w:t>Au-dessus de cet élément de protection se trouve la molette directionnelle qui doit être placée au-dessus du bord supérieur du couvercle (suivant l’épaisseur du bord du couvercle, incliner légèrement l’ouvre-boîte vers l’intérieur). Au-dessous de l’élément de protection, à l’intérieur de l’ouvre-boîte, se trouve la lame, qui ouvre la boîte de l’extérieur.</w:t>
      </w:r>
    </w:p>
    <w:p w:rsidR="0046530B" w:rsidRPr="0046530B" w:rsidRDefault="0046530B" w:rsidP="0046530B">
      <w:pPr>
        <w:pStyle w:val="Titre1numrot"/>
      </w:pPr>
      <w:bookmarkStart w:id="4" w:name="_Toc147739987"/>
      <w:r w:rsidRPr="0046530B">
        <w:t>Mode d’emploi</w:t>
      </w:r>
      <w:bookmarkEnd w:id="4"/>
    </w:p>
    <w:p w:rsidR="0046530B" w:rsidRPr="0046530B" w:rsidRDefault="0046530B" w:rsidP="0046530B">
      <w:pPr>
        <w:pStyle w:val="Textkrper"/>
      </w:pPr>
      <w:r w:rsidRPr="0046530B">
        <w:t>Ouvrez la pince jusqu’à la butée (s’encliquète à l’ouverture);</w:t>
      </w:r>
    </w:p>
    <w:p w:rsidR="0046530B" w:rsidRPr="0046530B" w:rsidRDefault="0046530B" w:rsidP="0046530B">
      <w:pPr>
        <w:pStyle w:val="Textkrper"/>
      </w:pPr>
      <w:r w:rsidRPr="0046530B">
        <w:t>placez la molette directionnelle sur le bord supérieur (suivant la hauteur du bord, inclinez légèrement l’outil vers l’intérieur);</w:t>
      </w:r>
    </w:p>
    <w:p w:rsidR="0046530B" w:rsidRPr="0046530B" w:rsidRDefault="0046530B" w:rsidP="0046530B">
      <w:pPr>
        <w:pStyle w:val="Textkrper"/>
      </w:pPr>
      <w:r w:rsidRPr="0046530B">
        <w:t>refermez la pince. Pour vérifier si l’ouvre-boîte est engagé correctement, soulevez-le: s’il est bien pris dans la boîte, tournez les ailettes loin de vous (vers l’avant, dans le sens des aiguilles d’une montre), tout en maintenant la pince fermée, jusqu’à ce que le couvercle s’ouvre;</w:t>
      </w:r>
    </w:p>
    <w:p w:rsidR="0046530B" w:rsidRPr="0046530B" w:rsidRDefault="0046530B" w:rsidP="0046530B">
      <w:pPr>
        <w:pStyle w:val="Textkrper"/>
      </w:pPr>
      <w:r w:rsidRPr="0046530B">
        <w:t>soulevez soigneusement le couvercle.</w:t>
      </w:r>
    </w:p>
    <w:p w:rsidR="0046530B" w:rsidRPr="0046530B" w:rsidRDefault="0046530B" w:rsidP="0046530B">
      <w:pPr>
        <w:pStyle w:val="Textkrper"/>
      </w:pPr>
      <w:r w:rsidRPr="0046530B">
        <w:t>Attention!: Etant donné que la boîte est souvent remplie jusqu’au bord et que son contenu risque de déborder facilement, il est recommandé d’ouvrir la boîte au-dessus de l’évier!</w:t>
      </w:r>
    </w:p>
    <w:p w:rsidR="0046530B" w:rsidRPr="0046530B" w:rsidRDefault="0046530B" w:rsidP="0046530B">
      <w:pPr>
        <w:pStyle w:val="Textkrper"/>
      </w:pPr>
      <w:r w:rsidRPr="0046530B">
        <w:t xml:space="preserve">Une fois que vous avez soulevé le couvercle, vous pouvez le remettre en place. </w:t>
      </w:r>
    </w:p>
    <w:p w:rsidR="0046530B" w:rsidRPr="0046530B" w:rsidRDefault="0046530B" w:rsidP="0046530B">
      <w:pPr>
        <w:pStyle w:val="Titre1numrot"/>
      </w:pPr>
      <w:bookmarkStart w:id="5" w:name="_Toc147739988"/>
      <w:r w:rsidRPr="0046530B">
        <w:t>Remarques</w:t>
      </w:r>
      <w:bookmarkEnd w:id="5"/>
    </w:p>
    <w:p w:rsidR="0046530B" w:rsidRPr="0046530B" w:rsidRDefault="0046530B" w:rsidP="0046530B">
      <w:pPr>
        <w:pStyle w:val="Textkrper"/>
      </w:pPr>
      <w:r w:rsidRPr="0046530B">
        <w:t>Si le fer blanc est très épais, vous devrez peut-être couper une deuxième fois le bord de la boîte. Le cas échéant, répétez simplement l’opération décrite ci-dessus.</w:t>
      </w:r>
    </w:p>
    <w:p w:rsidR="00EB4546" w:rsidRDefault="0046530B" w:rsidP="0046530B">
      <w:pPr>
        <w:pStyle w:val="Textkrper"/>
      </w:pPr>
      <w:r w:rsidRPr="0046530B">
        <w:t>Cet ouvre-boîte ne résiste pas au lave-vaisselle!</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873" w:rsidRDefault="00E90873">
      <w:r>
        <w:separator/>
      </w:r>
    </w:p>
  </w:endnote>
  <w:endnote w:type="continuationSeparator" w:id="0">
    <w:p w:rsidR="00E90873" w:rsidRDefault="00E9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46530B">
      <w:t>04.10.2023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873" w:rsidRDefault="00E90873">
      <w:r>
        <w:separator/>
      </w:r>
    </w:p>
  </w:footnote>
  <w:footnote w:type="continuationSeparator" w:id="0">
    <w:p w:rsidR="00E90873" w:rsidRDefault="00E90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2C2B"/>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4700B"/>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A5183"/>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6D5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12E9"/>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BD5"/>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6530B"/>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979B3"/>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2084"/>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B34F8"/>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B44E6"/>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087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4C93"/>
    <w:rsid w:val="00F15E72"/>
    <w:rsid w:val="00F16E50"/>
    <w:rsid w:val="00F21066"/>
    <w:rsid w:val="00F42F77"/>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704DF5D"/>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67AF7"/>
    <w:rsid w:val="00373DDC"/>
    <w:rsid w:val="004D4099"/>
    <w:rsid w:val="005303AE"/>
    <w:rsid w:val="005F4036"/>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25BCBAA8-2344-4E2E-9D44-D09C0313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4</Pages>
  <Words>380</Words>
  <Characters>2397</Characters>
  <Application>Microsoft Office Word</Application>
  <DocSecurity>0</DocSecurity>
  <Lines>19</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2772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2023-10-04T09:29:00Z</dcterms:created>
  <dcterms:modified xsi:type="dcterms:W3CDTF">2023-10-09T08:32:00Z</dcterms:modified>
</cp:coreProperties>
</file>